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AD7" w:rsidRDefault="00D22AD7" w:rsidP="00236148">
      <w:pPr>
        <w:pStyle w:val="a9"/>
        <w:spacing w:before="0" w:after="0"/>
        <w:ind w:firstLineChars="200" w:firstLine="643"/>
        <w:rPr>
          <w:kern w:val="0"/>
        </w:rPr>
      </w:pPr>
      <w:r>
        <w:rPr>
          <w:rFonts w:hint="eastAsia"/>
        </w:rPr>
        <w:t>2016</w:t>
      </w:r>
      <w:r>
        <w:rPr>
          <w:rFonts w:hint="eastAsia"/>
          <w:kern w:val="0"/>
        </w:rPr>
        <w:t>中国上市公司年度卓越价值创造</w:t>
      </w:r>
      <w:r w:rsidR="00AD57BE">
        <w:rPr>
          <w:rFonts w:hint="eastAsia"/>
          <w:kern w:val="0"/>
        </w:rPr>
        <w:t>报告</w:t>
      </w:r>
    </w:p>
    <w:p w:rsidR="00071444" w:rsidRDefault="00071444" w:rsidP="00071444">
      <w:pPr>
        <w:spacing w:line="360" w:lineRule="auto"/>
        <w:ind w:firstLineChars="200" w:firstLine="420"/>
        <w:rPr>
          <w:rFonts w:asciiTheme="minorEastAsia" w:hAnsiTheme="minorEastAsia" w:hint="eastAsia"/>
        </w:rPr>
      </w:pPr>
    </w:p>
    <w:p w:rsidR="008F38D4" w:rsidRPr="00071444" w:rsidRDefault="008F38D4" w:rsidP="00071444">
      <w:pPr>
        <w:spacing w:line="360" w:lineRule="auto"/>
        <w:ind w:firstLineChars="200" w:firstLine="420"/>
        <w:rPr>
          <w:rFonts w:asciiTheme="minorEastAsia" w:hAnsiTheme="minorEastAsia"/>
        </w:rPr>
      </w:pPr>
      <w:r w:rsidRPr="00071444">
        <w:rPr>
          <w:rFonts w:asciiTheme="minorEastAsia" w:hAnsiTheme="minorEastAsia" w:hint="eastAsia"/>
        </w:rPr>
        <w:t>总指导：</w:t>
      </w:r>
      <w:r w:rsidR="00AA32F5" w:rsidRPr="00071444">
        <w:rPr>
          <w:rFonts w:asciiTheme="minorEastAsia" w:hAnsiTheme="minorEastAsia" w:hint="eastAsia"/>
        </w:rPr>
        <w:t>钱军</w:t>
      </w:r>
      <w:r w:rsidR="001D59A6" w:rsidRPr="00071444">
        <w:rPr>
          <w:rFonts w:asciiTheme="minorEastAsia" w:hAnsiTheme="minorEastAsia" w:hint="eastAsia"/>
        </w:rPr>
        <w:t>，李峰</w:t>
      </w:r>
    </w:p>
    <w:p w:rsidR="008F38D4" w:rsidRPr="00071444" w:rsidRDefault="00BC4E77" w:rsidP="00071444">
      <w:pPr>
        <w:spacing w:line="360" w:lineRule="auto"/>
        <w:ind w:firstLineChars="200" w:firstLine="420"/>
        <w:rPr>
          <w:rFonts w:asciiTheme="minorEastAsia" w:hAnsiTheme="minorEastAsia"/>
        </w:rPr>
      </w:pPr>
      <w:r w:rsidRPr="00071444">
        <w:rPr>
          <w:rFonts w:asciiTheme="minorEastAsia" w:hAnsiTheme="minorEastAsia" w:hint="eastAsia"/>
        </w:rPr>
        <w:t>学术支持：上海交通大学</w:t>
      </w:r>
      <w:r w:rsidR="001D59A6" w:rsidRPr="00071444">
        <w:rPr>
          <w:rFonts w:asciiTheme="minorEastAsia" w:hAnsiTheme="minorEastAsia" w:hint="eastAsia"/>
        </w:rPr>
        <w:t xml:space="preserve"> 中国金融研究院 公司金融研究中心课题小组</w:t>
      </w:r>
      <w:r w:rsidR="001D59A6" w:rsidRPr="00071444" w:rsidDel="001D59A6">
        <w:rPr>
          <w:rFonts w:asciiTheme="minorEastAsia" w:hAnsiTheme="minorEastAsia" w:hint="eastAsia"/>
        </w:rPr>
        <w:t xml:space="preserve"> </w:t>
      </w:r>
    </w:p>
    <w:p w:rsidR="00392354" w:rsidRPr="00071444" w:rsidRDefault="00E265B3" w:rsidP="00071444">
      <w:pPr>
        <w:spacing w:line="360" w:lineRule="auto"/>
        <w:ind w:firstLineChars="200" w:firstLine="420"/>
        <w:rPr>
          <w:rFonts w:asciiTheme="minorEastAsia" w:hAnsiTheme="minorEastAsia"/>
        </w:rPr>
      </w:pPr>
      <w:r w:rsidRPr="00071444">
        <w:rPr>
          <w:rFonts w:asciiTheme="minorEastAsia" w:hAnsiTheme="minorEastAsia" w:hint="eastAsia"/>
        </w:rPr>
        <w:t>数据支持：数库</w:t>
      </w:r>
      <w:r w:rsidR="00906FC3" w:rsidRPr="00071444">
        <w:rPr>
          <w:rFonts w:asciiTheme="minorEastAsia" w:hAnsiTheme="minorEastAsia" w:hint="eastAsia"/>
        </w:rPr>
        <w:t>China Scope</w:t>
      </w:r>
    </w:p>
    <w:p w:rsidR="008F38D4" w:rsidRPr="00071444" w:rsidRDefault="000E1D34" w:rsidP="00071444">
      <w:pPr>
        <w:spacing w:line="360" w:lineRule="auto"/>
        <w:ind w:firstLineChars="200" w:firstLine="420"/>
        <w:rPr>
          <w:rFonts w:asciiTheme="minorEastAsia" w:hAnsiTheme="minorEastAsia"/>
        </w:rPr>
      </w:pPr>
      <w:r w:rsidRPr="00071444">
        <w:rPr>
          <w:rFonts w:asciiTheme="minorEastAsia" w:hAnsiTheme="minorEastAsia" w:hint="eastAsia"/>
        </w:rPr>
        <w:t>总</w:t>
      </w:r>
      <w:r w:rsidR="008F38D4" w:rsidRPr="00071444">
        <w:rPr>
          <w:rFonts w:asciiTheme="minorEastAsia" w:hAnsiTheme="minorEastAsia" w:hint="eastAsia"/>
        </w:rPr>
        <w:t>撰稿：李意安</w:t>
      </w:r>
    </w:p>
    <w:p w:rsidR="001B6121" w:rsidRPr="00071444" w:rsidRDefault="001B6121" w:rsidP="00071444">
      <w:pPr>
        <w:ind w:firstLineChars="200" w:firstLine="422"/>
        <w:rPr>
          <w:rFonts w:asciiTheme="minorEastAsia" w:hAnsiTheme="minorEastAsia"/>
          <w:b/>
        </w:rPr>
      </w:pPr>
    </w:p>
    <w:p w:rsidR="008F38D4" w:rsidRPr="00071444" w:rsidRDefault="00841084" w:rsidP="00071444">
      <w:pPr>
        <w:rPr>
          <w:rFonts w:asciiTheme="minorEastAsia" w:hAnsiTheme="minorEastAsia"/>
          <w:b/>
        </w:rPr>
      </w:pPr>
      <w:r w:rsidRPr="00071444">
        <w:rPr>
          <w:rFonts w:asciiTheme="minorEastAsia" w:hAnsiTheme="minorEastAsia" w:hint="eastAsia"/>
          <w:b/>
        </w:rPr>
        <w:t>一、</w:t>
      </w:r>
      <w:r w:rsidR="008F38D4" w:rsidRPr="00071444">
        <w:rPr>
          <w:rFonts w:asciiTheme="minorEastAsia" w:hAnsiTheme="minorEastAsia" w:hint="eastAsia"/>
          <w:b/>
        </w:rPr>
        <w:t>前言</w:t>
      </w:r>
    </w:p>
    <w:p w:rsidR="00841084" w:rsidRDefault="00841084" w:rsidP="00236148">
      <w:pPr>
        <w:ind w:firstLineChars="200" w:firstLine="420"/>
      </w:pPr>
    </w:p>
    <w:p w:rsidR="008F38D4" w:rsidRPr="00071444" w:rsidRDefault="00D22AD7" w:rsidP="00071444">
      <w:pPr>
        <w:spacing w:line="360" w:lineRule="auto"/>
        <w:ind w:firstLineChars="200" w:firstLine="420"/>
        <w:rPr>
          <w:rFonts w:asciiTheme="minorEastAsia" w:hAnsiTheme="minorEastAsia"/>
        </w:rPr>
      </w:pPr>
      <w:r w:rsidRPr="00071444">
        <w:rPr>
          <w:rFonts w:asciiTheme="minorEastAsia" w:hAnsiTheme="minorEastAsia" w:hint="eastAsia"/>
        </w:rPr>
        <w:t>2014年</w:t>
      </w:r>
      <w:r w:rsidR="008F38D4" w:rsidRPr="00071444">
        <w:rPr>
          <w:rFonts w:asciiTheme="minorEastAsia" w:hAnsiTheme="minorEastAsia" w:hint="eastAsia"/>
        </w:rPr>
        <w:t>5月9日，国务院发布《关于进一步促进资本市场健康发展的若干意见》(以下简称《意见》)，共涉及积极稳妥推进股票发行注册制度、加快多层次股权市场建设等九条33</w:t>
      </w:r>
      <w:r w:rsidR="008222C4" w:rsidRPr="00071444">
        <w:rPr>
          <w:rFonts w:asciiTheme="minorEastAsia" w:hAnsiTheme="minorEastAsia" w:hint="eastAsia"/>
        </w:rPr>
        <w:t>项内容，并</w:t>
      </w:r>
      <w:r w:rsidR="008F38D4" w:rsidRPr="00071444">
        <w:rPr>
          <w:rFonts w:asciiTheme="minorEastAsia" w:hAnsiTheme="minorEastAsia" w:hint="eastAsia"/>
        </w:rPr>
        <w:t>首次</w:t>
      </w:r>
      <w:r w:rsidR="008222C4" w:rsidRPr="00071444">
        <w:rPr>
          <w:rFonts w:asciiTheme="minorEastAsia" w:hAnsiTheme="minorEastAsia" w:hint="eastAsia"/>
        </w:rPr>
        <w:t>在公开文件中</w:t>
      </w:r>
      <w:r w:rsidR="008F38D4" w:rsidRPr="00071444">
        <w:rPr>
          <w:rFonts w:asciiTheme="minorEastAsia" w:hAnsiTheme="minorEastAsia" w:hint="eastAsia"/>
        </w:rPr>
        <w:t>提出</w:t>
      </w:r>
      <w:r w:rsidR="008222C4" w:rsidRPr="00071444">
        <w:rPr>
          <w:rFonts w:asciiTheme="minorEastAsia" w:hAnsiTheme="minorEastAsia" w:hint="eastAsia"/>
        </w:rPr>
        <w:t>了</w:t>
      </w:r>
      <w:r w:rsidR="008F38D4" w:rsidRPr="00071444">
        <w:rPr>
          <w:rFonts w:asciiTheme="minorEastAsia" w:hAnsiTheme="minorEastAsia" w:hint="eastAsia"/>
        </w:rPr>
        <w:t>“鼓励上市公司建立市值管理制度”。</w:t>
      </w:r>
    </w:p>
    <w:p w:rsidR="00481843" w:rsidRPr="00071444" w:rsidRDefault="00DB77DB" w:rsidP="00071444">
      <w:pPr>
        <w:spacing w:line="360" w:lineRule="auto"/>
        <w:ind w:firstLineChars="200" w:firstLine="420"/>
        <w:rPr>
          <w:rFonts w:asciiTheme="minorEastAsia" w:hAnsiTheme="minorEastAsia"/>
        </w:rPr>
      </w:pPr>
      <w:r w:rsidRPr="00071444">
        <w:rPr>
          <w:rFonts w:asciiTheme="minorEastAsia" w:hAnsiTheme="minorEastAsia"/>
        </w:rPr>
        <w:t>所谓市值管理，即上市公司基于公司市值信号，综合运用多种科学合规的价值经营方法，达到公司价值创造最大化、价值实现最优化的战略管理行为。市值管理是推动上市公司实体经营与资本运营良性互动的重要手段。</w:t>
      </w:r>
      <w:r w:rsidR="00481843" w:rsidRPr="00071444">
        <w:rPr>
          <w:rFonts w:asciiTheme="minorEastAsia" w:hAnsiTheme="minorEastAsia"/>
        </w:rPr>
        <w:t>而</w:t>
      </w:r>
      <w:r w:rsidRPr="00071444">
        <w:rPr>
          <w:rFonts w:asciiTheme="minorEastAsia" w:hAnsiTheme="minorEastAsia"/>
        </w:rPr>
        <w:t>市值管理的核心</w:t>
      </w:r>
      <w:r w:rsidR="00481843" w:rsidRPr="00071444">
        <w:rPr>
          <w:rFonts w:asciiTheme="minorEastAsia" w:hAnsiTheme="minorEastAsia"/>
        </w:rPr>
        <w:t>事实上</w:t>
      </w:r>
      <w:r w:rsidRPr="00071444">
        <w:rPr>
          <w:rFonts w:asciiTheme="minorEastAsia" w:hAnsiTheme="minorEastAsia"/>
        </w:rPr>
        <w:t>是价值管理，是价值创造与股东价值实现；目标是追求可持续的上市公司市值最大化；其本质是一种长效战略管理机制。​​市值管理的核心内涵，就是不断优化和扩大上市公司的资产质量以实现市值提升。实现路径第一是通过经营业绩的提升而促使股价上升，那么所有股东的市场价值就得到了相应的提升。第二个路径是通过多种方式不断扩大公司的资产规模。在这方面，需要特别注意资产质量和经营业绩的匹配关系，避免盲目追求规模导致经营质量下降和股价中枢走低，否则就可能会对市场价值产生负面影响。</w:t>
      </w:r>
    </w:p>
    <w:p w:rsidR="00481843" w:rsidRPr="00071444" w:rsidRDefault="00481843" w:rsidP="00071444">
      <w:pPr>
        <w:spacing w:line="360" w:lineRule="auto"/>
        <w:ind w:firstLineChars="200" w:firstLine="420"/>
        <w:rPr>
          <w:rFonts w:asciiTheme="minorEastAsia" w:hAnsiTheme="minorEastAsia"/>
        </w:rPr>
      </w:pPr>
      <w:r w:rsidRPr="00071444">
        <w:rPr>
          <w:rFonts w:asciiTheme="minorEastAsia" w:hAnsiTheme="minorEastAsia" w:hint="eastAsia"/>
        </w:rPr>
        <w:t>2014年初IPO重启，全年125家企业上市，随之而来的，下半年中国A股迎来了久违的牛市，</w:t>
      </w:r>
      <w:r w:rsidRPr="00071444">
        <w:rPr>
          <w:rFonts w:asciiTheme="minorEastAsia" w:hAnsiTheme="minorEastAsia"/>
        </w:rPr>
        <w:t>沪指突破3200点，创出近五年新高，成交量最高突破万亿大关。</w:t>
      </w:r>
      <w:r w:rsidRPr="00071444">
        <w:rPr>
          <w:rFonts w:asciiTheme="minorEastAsia" w:hAnsiTheme="minorEastAsia" w:hint="eastAsia"/>
        </w:rPr>
        <w:t>2015年A股估值则呈现一个倒V形，上半年出现了“疯牛”行情，上证指数直逼5000点，6月股灾猝不及防，当疯牛遇见闪电熊，市场急转直下。</w:t>
      </w:r>
    </w:p>
    <w:p w:rsidR="00481843" w:rsidRPr="00071444" w:rsidRDefault="00481843" w:rsidP="00071444">
      <w:pPr>
        <w:spacing w:line="360" w:lineRule="auto"/>
        <w:ind w:firstLineChars="200" w:firstLine="420"/>
        <w:rPr>
          <w:rFonts w:asciiTheme="minorEastAsia" w:hAnsiTheme="minorEastAsia"/>
        </w:rPr>
      </w:pPr>
      <w:r w:rsidRPr="00071444">
        <w:rPr>
          <w:rFonts w:asciiTheme="minorEastAsia" w:hAnsiTheme="minorEastAsia" w:hint="eastAsia"/>
        </w:rPr>
        <w:t>尽管未有公开的客观数据能够</w:t>
      </w:r>
      <w:r w:rsidR="00F172C6" w:rsidRPr="00071444">
        <w:rPr>
          <w:rFonts w:asciiTheme="minorEastAsia" w:hAnsiTheme="minorEastAsia" w:hint="eastAsia"/>
        </w:rPr>
        <w:t>精准统计，但在此期间将</w:t>
      </w:r>
      <w:r w:rsidRPr="00071444">
        <w:rPr>
          <w:rFonts w:asciiTheme="minorEastAsia" w:hAnsiTheme="minorEastAsia"/>
        </w:rPr>
        <w:t>市值管理等同于维护股价的看法在A股市场非常盛行。</w:t>
      </w:r>
      <w:r w:rsidR="00F172C6" w:rsidRPr="00071444">
        <w:rPr>
          <w:rFonts w:asciiTheme="minorEastAsia" w:hAnsiTheme="minorEastAsia"/>
        </w:rPr>
        <w:t>计算公式是：市值=股本×股价。但若对市值管理的认知，简单化为对股价和股本两个变量的把控，那么上市公司就很容易沉湎于转增股本的自我陶醉游戏，更有甚者或不惜作奸犯科，内外勾结操纵股价从而陷入庄股的泥潭。而事实上</w:t>
      </w:r>
      <w:r w:rsidR="00F172C6" w:rsidRPr="00071444">
        <w:rPr>
          <w:rFonts w:asciiTheme="minorEastAsia" w:hAnsiTheme="minorEastAsia" w:hint="eastAsia"/>
        </w:rPr>
        <w:t>，</w:t>
      </w:r>
      <w:r w:rsidR="00F172C6" w:rsidRPr="00071444">
        <w:rPr>
          <w:rFonts w:asciiTheme="minorEastAsia" w:hAnsiTheme="minorEastAsia"/>
        </w:rPr>
        <w:t>股价高低虽然</w:t>
      </w:r>
      <w:r w:rsidRPr="00071444">
        <w:rPr>
          <w:rFonts w:asciiTheme="minorEastAsia" w:hAnsiTheme="minorEastAsia"/>
        </w:rPr>
        <w:t>是影响市值大小的重要因素，但绝非全部，市值管理亦绝不等同于维护股价。股价不过是上</w:t>
      </w:r>
      <w:r w:rsidRPr="00071444">
        <w:rPr>
          <w:rFonts w:asciiTheme="minorEastAsia" w:hAnsiTheme="minorEastAsia"/>
        </w:rPr>
        <w:lastRenderedPageBreak/>
        <w:t>市公司内在价值的一个外在反映而已，受投资者情绪和市场整体走势等短期因素影响很大。</w:t>
      </w:r>
    </w:p>
    <w:p w:rsidR="00D87DBD" w:rsidRPr="00071444" w:rsidRDefault="00F172C6" w:rsidP="00071444">
      <w:pPr>
        <w:spacing w:line="360" w:lineRule="auto"/>
        <w:ind w:firstLineChars="200" w:firstLine="420"/>
        <w:rPr>
          <w:rFonts w:asciiTheme="minorEastAsia" w:hAnsiTheme="minorEastAsia"/>
        </w:rPr>
      </w:pPr>
      <w:r w:rsidRPr="00071444">
        <w:rPr>
          <w:rFonts w:asciiTheme="minorEastAsia" w:hAnsiTheme="minorEastAsia"/>
        </w:rPr>
        <w:t>而</w:t>
      </w:r>
      <w:r w:rsidR="00DB77DB" w:rsidRPr="00071444">
        <w:rPr>
          <w:rFonts w:asciiTheme="minorEastAsia" w:hAnsiTheme="minorEastAsia"/>
        </w:rPr>
        <w:t>​</w:t>
      </w:r>
      <w:r w:rsidR="00AA32F5" w:rsidRPr="00071444">
        <w:rPr>
          <w:rFonts w:asciiTheme="minorEastAsia" w:hAnsiTheme="minorEastAsia" w:hint="eastAsia"/>
        </w:rPr>
        <w:t>我们认为，</w:t>
      </w:r>
      <w:r w:rsidR="008F38D4" w:rsidRPr="00071444">
        <w:rPr>
          <w:rFonts w:asciiTheme="minorEastAsia" w:hAnsiTheme="minorEastAsia" w:hint="eastAsia"/>
        </w:rPr>
        <w:t>比</w:t>
      </w:r>
      <w:r w:rsidR="00AA32F5" w:rsidRPr="00071444">
        <w:rPr>
          <w:rFonts w:asciiTheme="minorEastAsia" w:hAnsiTheme="minorEastAsia" w:hint="eastAsia"/>
        </w:rPr>
        <w:t>“</w:t>
      </w:r>
      <w:r w:rsidR="008F38D4" w:rsidRPr="00071444">
        <w:rPr>
          <w:rFonts w:asciiTheme="minorEastAsia" w:hAnsiTheme="minorEastAsia" w:hint="eastAsia"/>
        </w:rPr>
        <w:t>市值管理</w:t>
      </w:r>
      <w:r w:rsidR="00AA32F5" w:rsidRPr="00071444">
        <w:rPr>
          <w:rFonts w:asciiTheme="minorEastAsia" w:hAnsiTheme="minorEastAsia" w:hint="eastAsia"/>
        </w:rPr>
        <w:t>”</w:t>
      </w:r>
      <w:r w:rsidR="008F38D4" w:rsidRPr="00071444">
        <w:rPr>
          <w:rFonts w:asciiTheme="minorEastAsia" w:hAnsiTheme="minorEastAsia" w:hint="eastAsia"/>
        </w:rPr>
        <w:t>更重要的，</w:t>
      </w:r>
      <w:r w:rsidR="00D87DBD" w:rsidRPr="00071444">
        <w:rPr>
          <w:rFonts w:asciiTheme="minorEastAsia" w:hAnsiTheme="minorEastAsia" w:hint="eastAsia"/>
        </w:rPr>
        <w:t>其实</w:t>
      </w:r>
      <w:r w:rsidR="008F38D4" w:rsidRPr="00071444">
        <w:rPr>
          <w:rFonts w:asciiTheme="minorEastAsia" w:hAnsiTheme="minorEastAsia" w:hint="eastAsia"/>
        </w:rPr>
        <w:t>是上市公司的价值创造。</w:t>
      </w:r>
      <w:r w:rsidR="00AA32F5" w:rsidRPr="00071444">
        <w:rPr>
          <w:rFonts w:asciiTheme="minorEastAsia" w:hAnsiTheme="minorEastAsia" w:hint="eastAsia"/>
        </w:rPr>
        <w:t>所谓价值创造，</w:t>
      </w:r>
      <w:r w:rsidR="00DB77DB" w:rsidRPr="00071444">
        <w:rPr>
          <w:rFonts w:asciiTheme="minorEastAsia" w:hAnsiTheme="minorEastAsia" w:hint="eastAsia"/>
        </w:rPr>
        <w:t>是通过盈利能力的提升、公司治理的完善、信息披露的真实有效</w:t>
      </w:r>
      <w:r w:rsidR="00AA32F5" w:rsidRPr="00071444">
        <w:rPr>
          <w:rFonts w:asciiTheme="minorEastAsia" w:hAnsiTheme="minorEastAsia" w:hint="eastAsia"/>
        </w:rPr>
        <w:t>，由此获得</w:t>
      </w:r>
      <w:r w:rsidR="00DB77DB" w:rsidRPr="00071444">
        <w:rPr>
          <w:rFonts w:asciiTheme="minorEastAsia" w:hAnsiTheme="minorEastAsia" w:hint="eastAsia"/>
        </w:rPr>
        <w:t>估值</w:t>
      </w:r>
      <w:r w:rsidR="00AA32F5" w:rsidRPr="00071444">
        <w:rPr>
          <w:rFonts w:asciiTheme="minorEastAsia" w:hAnsiTheme="minorEastAsia" w:hint="eastAsia"/>
        </w:rPr>
        <w:t>的持续</w:t>
      </w:r>
      <w:r w:rsidR="00DB77DB" w:rsidRPr="00071444">
        <w:rPr>
          <w:rFonts w:asciiTheme="minorEastAsia" w:hAnsiTheme="minorEastAsia" w:hint="eastAsia"/>
        </w:rPr>
        <w:t>提升</w:t>
      </w:r>
      <w:r w:rsidR="00AA32F5" w:rsidRPr="00071444">
        <w:rPr>
          <w:rFonts w:asciiTheme="minorEastAsia" w:hAnsiTheme="minorEastAsia" w:hint="eastAsia"/>
        </w:rPr>
        <w:t>。</w:t>
      </w:r>
    </w:p>
    <w:p w:rsidR="00AA32F5" w:rsidRPr="00071444" w:rsidRDefault="00AA32F5" w:rsidP="00071444">
      <w:pPr>
        <w:spacing w:line="360" w:lineRule="auto"/>
        <w:ind w:firstLineChars="200" w:firstLine="420"/>
        <w:rPr>
          <w:rFonts w:asciiTheme="minorEastAsia" w:hAnsiTheme="minorEastAsia"/>
        </w:rPr>
      </w:pPr>
      <w:r w:rsidRPr="00071444">
        <w:rPr>
          <w:rFonts w:asciiTheme="minorEastAsia" w:hAnsiTheme="minorEastAsia" w:hint="eastAsia"/>
        </w:rPr>
        <w:t>因此，回归基本</w:t>
      </w:r>
      <w:r w:rsidR="00605B5C" w:rsidRPr="00071444">
        <w:rPr>
          <w:rFonts w:asciiTheme="minorEastAsia" w:hAnsiTheme="minorEastAsia" w:hint="eastAsia"/>
        </w:rPr>
        <w:t>面，我们相信，通过财务数据的深度挖掘和长期观测，能够寻找出那些</w:t>
      </w:r>
      <w:r w:rsidR="001B6121" w:rsidRPr="00071444">
        <w:rPr>
          <w:rFonts w:asciiTheme="minorEastAsia" w:hAnsiTheme="minorEastAsia" w:hint="eastAsia"/>
        </w:rPr>
        <w:t>稳健经营、有着健康的现金流和合理的增长率、信息公开透明</w:t>
      </w:r>
      <w:r w:rsidR="00AE0762" w:rsidRPr="00071444">
        <w:rPr>
          <w:rFonts w:asciiTheme="minorEastAsia" w:hAnsiTheme="minorEastAsia" w:hint="eastAsia"/>
        </w:rPr>
        <w:t>且符合监管要求规范的上市公司，我们相信这样的标的才真正</w:t>
      </w:r>
      <w:r w:rsidR="00605B5C" w:rsidRPr="00071444">
        <w:rPr>
          <w:rFonts w:asciiTheme="minorEastAsia" w:hAnsiTheme="minorEastAsia" w:hint="eastAsia"/>
        </w:rPr>
        <w:t>具有中长期投资价值</w:t>
      </w:r>
      <w:r w:rsidR="000E1D34" w:rsidRPr="00071444">
        <w:rPr>
          <w:rFonts w:asciiTheme="minorEastAsia" w:hAnsiTheme="minorEastAsia" w:hint="eastAsia"/>
        </w:rPr>
        <w:t>，</w:t>
      </w:r>
      <w:r w:rsidR="007F5000" w:rsidRPr="00071444">
        <w:rPr>
          <w:rFonts w:asciiTheme="minorEastAsia" w:hAnsiTheme="minorEastAsia" w:hint="eastAsia"/>
        </w:rPr>
        <w:t>而这也是我们进行这项研究</w:t>
      </w:r>
      <w:r w:rsidR="00D87DBD" w:rsidRPr="00071444">
        <w:rPr>
          <w:rFonts w:asciiTheme="minorEastAsia" w:hAnsiTheme="minorEastAsia" w:hint="eastAsia"/>
        </w:rPr>
        <w:t>的根本动因。</w:t>
      </w:r>
    </w:p>
    <w:p w:rsidR="00AA32F5" w:rsidRPr="00071444" w:rsidRDefault="00AA32F5" w:rsidP="00071444">
      <w:pPr>
        <w:spacing w:line="360" w:lineRule="auto"/>
        <w:ind w:firstLineChars="200" w:firstLine="420"/>
        <w:rPr>
          <w:rFonts w:asciiTheme="minorEastAsia" w:hAnsiTheme="minorEastAsia"/>
        </w:rPr>
      </w:pPr>
      <w:r w:rsidRPr="00071444">
        <w:rPr>
          <w:rFonts w:asciiTheme="minorEastAsia" w:hAnsiTheme="minorEastAsia"/>
        </w:rPr>
        <w:t>上海交大</w:t>
      </w:r>
      <w:r w:rsidR="001D59A6" w:rsidRPr="00071444">
        <w:rPr>
          <w:rFonts w:asciiTheme="minorEastAsia" w:hAnsiTheme="minorEastAsia" w:hint="eastAsia"/>
        </w:rPr>
        <w:t>中国金融研究院公司金融研究中心课题小组</w:t>
      </w:r>
      <w:r w:rsidR="007F5000" w:rsidRPr="00071444">
        <w:rPr>
          <w:rFonts w:asciiTheme="minorEastAsia" w:hAnsiTheme="minorEastAsia"/>
        </w:rPr>
        <w:t>作为本次报告</w:t>
      </w:r>
      <w:r w:rsidRPr="00071444">
        <w:rPr>
          <w:rFonts w:asciiTheme="minorEastAsia" w:hAnsiTheme="minorEastAsia"/>
        </w:rPr>
        <w:t>发布的学术支持方</w:t>
      </w:r>
      <w:r w:rsidRPr="00071444">
        <w:rPr>
          <w:rFonts w:asciiTheme="minorEastAsia" w:hAnsiTheme="minorEastAsia" w:hint="eastAsia"/>
        </w:rPr>
        <w:t>，</w:t>
      </w:r>
      <w:r w:rsidRPr="00071444">
        <w:rPr>
          <w:rFonts w:asciiTheme="minorEastAsia" w:hAnsiTheme="minorEastAsia"/>
        </w:rPr>
        <w:t>经过反复拟合校验</w:t>
      </w:r>
      <w:r w:rsidRPr="00071444">
        <w:rPr>
          <w:rFonts w:asciiTheme="minorEastAsia" w:hAnsiTheme="minorEastAsia" w:hint="eastAsia"/>
        </w:rPr>
        <w:t>，设计出</w:t>
      </w:r>
      <w:r w:rsidR="004B7001" w:rsidRPr="00071444">
        <w:rPr>
          <w:rFonts w:asciiTheme="minorEastAsia" w:hAnsiTheme="minorEastAsia" w:hint="eastAsia"/>
        </w:rPr>
        <w:t>“</w:t>
      </w:r>
      <w:r w:rsidR="001D59A6" w:rsidRPr="00071444">
        <w:rPr>
          <w:rFonts w:asciiTheme="minorEastAsia" w:hAnsiTheme="minorEastAsia" w:hint="eastAsia"/>
        </w:rPr>
        <w:t>A股</w:t>
      </w:r>
      <w:r w:rsidR="007F5000" w:rsidRPr="00071444">
        <w:rPr>
          <w:rFonts w:asciiTheme="minorEastAsia" w:hAnsiTheme="minorEastAsia"/>
        </w:rPr>
        <w:t>价值创造</w:t>
      </w:r>
      <w:r w:rsidRPr="00071444">
        <w:rPr>
          <w:rFonts w:asciiTheme="minorEastAsia" w:hAnsiTheme="minorEastAsia"/>
        </w:rPr>
        <w:t>指数</w:t>
      </w:r>
      <w:r w:rsidR="004B7001" w:rsidRPr="00071444">
        <w:rPr>
          <w:rFonts w:asciiTheme="minorEastAsia" w:hAnsiTheme="minorEastAsia" w:hint="eastAsia"/>
        </w:rPr>
        <w:t>”</w:t>
      </w:r>
      <w:r w:rsidRPr="00071444">
        <w:rPr>
          <w:rFonts w:asciiTheme="minorEastAsia" w:hAnsiTheme="minorEastAsia" w:hint="eastAsia"/>
        </w:rPr>
        <w:t>，重点考察了企业为股东创造的价值、公司治理和信息披露三个维度，</w:t>
      </w:r>
      <w:r w:rsidR="001B6121" w:rsidRPr="00071444">
        <w:rPr>
          <w:rFonts w:asciiTheme="minorEastAsia" w:hAnsiTheme="minorEastAsia" w:hint="eastAsia"/>
        </w:rPr>
        <w:t>并根据相应指标</w:t>
      </w:r>
      <w:r w:rsidR="0018514D" w:rsidRPr="00071444">
        <w:rPr>
          <w:rFonts w:asciiTheme="minorEastAsia" w:hAnsiTheme="minorEastAsia" w:hint="eastAsia"/>
        </w:rPr>
        <w:t>和</w:t>
      </w:r>
      <w:r w:rsidR="0018514D" w:rsidRPr="00071444">
        <w:rPr>
          <w:rFonts w:asciiTheme="minorEastAsia" w:hAnsiTheme="minorEastAsia"/>
        </w:rPr>
        <w:t>由专业数据公司</w:t>
      </w:r>
      <w:r w:rsidR="0018514D" w:rsidRPr="00071444">
        <w:rPr>
          <w:rFonts w:asciiTheme="minorEastAsia" w:hAnsiTheme="minorEastAsia" w:hint="eastAsia"/>
        </w:rPr>
        <w:t>数库</w:t>
      </w:r>
      <w:r w:rsidR="0018514D" w:rsidRPr="00071444">
        <w:rPr>
          <w:rFonts w:asciiTheme="minorEastAsia" w:hAnsiTheme="minorEastAsia"/>
        </w:rPr>
        <w:t>提供的</w:t>
      </w:r>
      <w:r w:rsidR="001D59A6" w:rsidRPr="00071444">
        <w:rPr>
          <w:rFonts w:asciiTheme="minorEastAsia" w:hAnsiTheme="minorEastAsia" w:hint="eastAsia"/>
        </w:rPr>
        <w:t>上市公司</w:t>
      </w:r>
      <w:r w:rsidR="0018514D" w:rsidRPr="00071444">
        <w:rPr>
          <w:rFonts w:asciiTheme="minorEastAsia" w:hAnsiTheme="minorEastAsia"/>
        </w:rPr>
        <w:t>公开</w:t>
      </w:r>
      <w:r w:rsidR="001D59A6" w:rsidRPr="00071444">
        <w:rPr>
          <w:rFonts w:asciiTheme="minorEastAsia" w:hAnsiTheme="minorEastAsia" w:hint="eastAsia"/>
        </w:rPr>
        <w:t>披露的</w:t>
      </w:r>
      <w:r w:rsidR="0018514D" w:rsidRPr="00071444">
        <w:rPr>
          <w:rFonts w:asciiTheme="minorEastAsia" w:hAnsiTheme="minorEastAsia"/>
        </w:rPr>
        <w:t>数据，</w:t>
      </w:r>
      <w:r w:rsidRPr="00071444">
        <w:rPr>
          <w:rFonts w:asciiTheme="minorEastAsia" w:hAnsiTheme="minorEastAsia" w:hint="eastAsia"/>
        </w:rPr>
        <w:t>对2726家A股上市的企业（截止2015年报告期末）进行了</w:t>
      </w:r>
      <w:r w:rsidR="0018514D" w:rsidRPr="00071444">
        <w:rPr>
          <w:rFonts w:asciiTheme="minorEastAsia" w:hAnsiTheme="minorEastAsia" w:hint="eastAsia"/>
        </w:rPr>
        <w:t>梳理</w:t>
      </w:r>
      <w:r w:rsidR="00B7334E" w:rsidRPr="00071444">
        <w:rPr>
          <w:rFonts w:asciiTheme="minorEastAsia" w:hAnsiTheme="minorEastAsia" w:hint="eastAsia"/>
        </w:rPr>
        <w:t>（由于金融行业的特性以及与其他行业的重大区别，该行业</w:t>
      </w:r>
      <w:r w:rsidR="007F5000" w:rsidRPr="00071444">
        <w:rPr>
          <w:rFonts w:asciiTheme="minorEastAsia" w:hAnsiTheme="minorEastAsia" w:hint="eastAsia"/>
        </w:rPr>
        <w:t>此次未纳入以上三项维度为方向的客观指标研究，但考虑到对投资者观察全市场的需求，我们通过业界专家推荐、网络问卷等主观指标来补充对金融行业上市公司的研究</w:t>
      </w:r>
      <w:r w:rsidR="00B7334E" w:rsidRPr="00071444">
        <w:rPr>
          <w:rFonts w:asciiTheme="minorEastAsia" w:hAnsiTheme="minorEastAsia" w:hint="eastAsia"/>
        </w:rPr>
        <w:t>）</w:t>
      </w:r>
      <w:r w:rsidR="00AE0762" w:rsidRPr="00071444">
        <w:rPr>
          <w:rFonts w:asciiTheme="minorEastAsia" w:hAnsiTheme="minorEastAsia" w:hint="eastAsia"/>
        </w:rPr>
        <w:t>排名靠前</w:t>
      </w:r>
      <w:r w:rsidRPr="00071444">
        <w:rPr>
          <w:rFonts w:asciiTheme="minorEastAsia" w:hAnsiTheme="minorEastAsia" w:hint="eastAsia"/>
        </w:rPr>
        <w:t>的</w:t>
      </w:r>
      <w:r w:rsidR="000E1D34" w:rsidRPr="00071444">
        <w:rPr>
          <w:rFonts w:asciiTheme="minorEastAsia" w:hAnsiTheme="minorEastAsia" w:hint="eastAsia"/>
        </w:rPr>
        <w:t>50</w:t>
      </w:r>
      <w:r w:rsidR="00AE0762" w:rsidRPr="00071444">
        <w:rPr>
          <w:rFonts w:asciiTheme="minorEastAsia" w:hAnsiTheme="minorEastAsia" w:hint="eastAsia"/>
        </w:rPr>
        <w:t>家上市公司，成为</w:t>
      </w:r>
      <w:r w:rsidR="00475785" w:rsidRPr="00071444">
        <w:rPr>
          <w:rFonts w:asciiTheme="minorEastAsia" w:hAnsiTheme="minorEastAsia" w:hint="eastAsia"/>
        </w:rPr>
        <w:t>2016年度中国</w:t>
      </w:r>
      <w:r w:rsidR="00AE0762" w:rsidRPr="00071444">
        <w:rPr>
          <w:rFonts w:asciiTheme="minorEastAsia" w:hAnsiTheme="minorEastAsia" w:hint="eastAsia"/>
        </w:rPr>
        <w:t>上市公司卓越价值创造</w:t>
      </w:r>
      <w:r w:rsidR="00475785" w:rsidRPr="00071444">
        <w:rPr>
          <w:rFonts w:asciiTheme="minorEastAsia" w:hAnsiTheme="minorEastAsia" w:hint="eastAsia"/>
        </w:rPr>
        <w:t>的上榜企业</w:t>
      </w:r>
      <w:r w:rsidR="00AE0762" w:rsidRPr="00071444">
        <w:rPr>
          <w:rFonts w:asciiTheme="minorEastAsia" w:hAnsiTheme="minorEastAsia" w:hint="eastAsia"/>
        </w:rPr>
        <w:t>。</w:t>
      </w:r>
    </w:p>
    <w:p w:rsidR="00AA32F5" w:rsidRPr="00071444" w:rsidRDefault="00AA32F5" w:rsidP="00071444">
      <w:pPr>
        <w:spacing w:line="360" w:lineRule="auto"/>
        <w:ind w:firstLineChars="200" w:firstLine="420"/>
        <w:rPr>
          <w:rFonts w:asciiTheme="minorEastAsia" w:hAnsiTheme="minorEastAsia"/>
        </w:rPr>
      </w:pPr>
      <w:r w:rsidRPr="00071444">
        <w:rPr>
          <w:rFonts w:asciiTheme="minorEastAsia" w:hAnsiTheme="minorEastAsia"/>
        </w:rPr>
        <w:t>报告正文内容部分将详细阐述该指数所选取的参数</w:t>
      </w:r>
      <w:r w:rsidRPr="00071444">
        <w:rPr>
          <w:rFonts w:asciiTheme="minorEastAsia" w:hAnsiTheme="minorEastAsia" w:hint="eastAsia"/>
        </w:rPr>
        <w:t>、</w:t>
      </w:r>
      <w:r w:rsidRPr="00071444">
        <w:rPr>
          <w:rFonts w:asciiTheme="minorEastAsia" w:hAnsiTheme="minorEastAsia"/>
        </w:rPr>
        <w:t>设计原理和最终的结果呈现</w:t>
      </w:r>
      <w:r w:rsidRPr="00071444">
        <w:rPr>
          <w:rFonts w:asciiTheme="minorEastAsia" w:hAnsiTheme="minorEastAsia" w:hint="eastAsia"/>
        </w:rPr>
        <w:t>。</w:t>
      </w:r>
    </w:p>
    <w:p w:rsidR="00AD57BE" w:rsidRPr="00071444" w:rsidRDefault="00AA32F5" w:rsidP="00071444">
      <w:pPr>
        <w:spacing w:line="360" w:lineRule="auto"/>
        <w:ind w:firstLineChars="200" w:firstLine="420"/>
        <w:rPr>
          <w:rFonts w:asciiTheme="minorEastAsia" w:hAnsiTheme="minorEastAsia"/>
        </w:rPr>
      </w:pPr>
      <w:r w:rsidRPr="00071444">
        <w:rPr>
          <w:rFonts w:asciiTheme="minorEastAsia" w:hAnsiTheme="minorEastAsia" w:hint="eastAsia"/>
        </w:rPr>
        <w:t>值得一提的是，在本次</w:t>
      </w:r>
      <w:r w:rsidR="007F5000" w:rsidRPr="00071444">
        <w:rPr>
          <w:rFonts w:asciiTheme="minorEastAsia" w:hAnsiTheme="minorEastAsia" w:hint="eastAsia"/>
        </w:rPr>
        <w:t>报告</w:t>
      </w:r>
      <w:r w:rsidRPr="00071444">
        <w:rPr>
          <w:rFonts w:asciiTheme="minorEastAsia" w:hAnsiTheme="minorEastAsia" w:hint="eastAsia"/>
        </w:rPr>
        <w:t>正式发布之前，我们针对</w:t>
      </w:r>
      <w:r w:rsidR="00392354" w:rsidRPr="00071444">
        <w:rPr>
          <w:rFonts w:asciiTheme="minorEastAsia" w:hAnsiTheme="minorEastAsia" w:hint="eastAsia"/>
        </w:rPr>
        <w:t>包括</w:t>
      </w:r>
      <w:r w:rsidR="007F5000" w:rsidRPr="00071444">
        <w:rPr>
          <w:rFonts w:asciiTheme="minorEastAsia" w:hAnsiTheme="minorEastAsia" w:hint="eastAsia"/>
        </w:rPr>
        <w:t>中金公司</w:t>
      </w:r>
      <w:r w:rsidR="00475785" w:rsidRPr="00071444">
        <w:rPr>
          <w:rFonts w:asciiTheme="minorEastAsia" w:hAnsiTheme="minorEastAsia" w:hint="eastAsia"/>
        </w:rPr>
        <w:t>、</w:t>
      </w:r>
      <w:r w:rsidR="000B5C03" w:rsidRPr="00071444">
        <w:rPr>
          <w:rFonts w:asciiTheme="minorEastAsia" w:hAnsiTheme="minorEastAsia" w:hint="eastAsia"/>
        </w:rPr>
        <w:t>国泰君安、万家基金、</w:t>
      </w:r>
      <w:r w:rsidR="00400AB5" w:rsidRPr="00071444">
        <w:rPr>
          <w:rFonts w:asciiTheme="minorEastAsia" w:hAnsiTheme="minorEastAsia" w:hint="eastAsia"/>
        </w:rPr>
        <w:t>东吴证券、</w:t>
      </w:r>
      <w:r w:rsidR="00392354" w:rsidRPr="00071444">
        <w:rPr>
          <w:rFonts w:asciiTheme="minorEastAsia" w:hAnsiTheme="minorEastAsia" w:hint="eastAsia"/>
        </w:rPr>
        <w:t>兴业证券、</w:t>
      </w:r>
      <w:r w:rsidR="00400AB5" w:rsidRPr="00071444">
        <w:rPr>
          <w:rFonts w:asciiTheme="minorEastAsia" w:hAnsiTheme="minorEastAsia" w:hint="eastAsia"/>
        </w:rPr>
        <w:t>中民投、</w:t>
      </w:r>
      <w:r w:rsidR="000B5C03" w:rsidRPr="00071444">
        <w:rPr>
          <w:rFonts w:asciiTheme="minorEastAsia" w:hAnsiTheme="minorEastAsia" w:hint="eastAsia"/>
        </w:rPr>
        <w:t>诺亚财富、颐盛投资、锦天城律师事务所</w:t>
      </w:r>
      <w:r w:rsidR="00392354" w:rsidRPr="00071444">
        <w:rPr>
          <w:rFonts w:asciiTheme="minorEastAsia" w:hAnsiTheme="minorEastAsia" w:hint="eastAsia"/>
        </w:rPr>
        <w:t>、立信会计师事务所</w:t>
      </w:r>
      <w:r w:rsidRPr="00071444">
        <w:rPr>
          <w:rFonts w:asciiTheme="minorEastAsia" w:hAnsiTheme="minorEastAsia" w:hint="eastAsia"/>
        </w:rPr>
        <w:t>在内的</w:t>
      </w:r>
      <w:r w:rsidR="00392354" w:rsidRPr="00071444">
        <w:rPr>
          <w:rFonts w:asciiTheme="minorEastAsia" w:hAnsiTheme="minorEastAsia" w:hint="eastAsia"/>
        </w:rPr>
        <w:t>20</w:t>
      </w:r>
      <w:r w:rsidR="00400AB5" w:rsidRPr="00071444">
        <w:rPr>
          <w:rFonts w:asciiTheme="minorEastAsia" w:hAnsiTheme="minorEastAsia" w:hint="eastAsia"/>
        </w:rPr>
        <w:t>家专业</w:t>
      </w:r>
      <w:r w:rsidR="00841084" w:rsidRPr="00071444">
        <w:rPr>
          <w:rFonts w:asciiTheme="minorEastAsia" w:hAnsiTheme="minorEastAsia" w:hint="eastAsia"/>
        </w:rPr>
        <w:t>机构相关从业人员进行了问卷调查，</w:t>
      </w:r>
      <w:r w:rsidRPr="00071444">
        <w:rPr>
          <w:rFonts w:asciiTheme="minorEastAsia" w:hAnsiTheme="minorEastAsia" w:hint="eastAsia"/>
        </w:rPr>
        <w:t>共计回收</w:t>
      </w:r>
      <w:r w:rsidR="00392354" w:rsidRPr="00071444">
        <w:rPr>
          <w:rFonts w:asciiTheme="minorEastAsia" w:hAnsiTheme="minorEastAsia" w:hint="eastAsia"/>
        </w:rPr>
        <w:t>156</w:t>
      </w:r>
      <w:r w:rsidRPr="00071444">
        <w:rPr>
          <w:rFonts w:asciiTheme="minorEastAsia" w:hAnsiTheme="minorEastAsia" w:hint="eastAsia"/>
        </w:rPr>
        <w:t>份有效问卷</w:t>
      </w:r>
      <w:r w:rsidR="00392354" w:rsidRPr="00071444">
        <w:rPr>
          <w:rFonts w:asciiTheme="minorEastAsia" w:hAnsiTheme="minorEastAsia" w:hint="eastAsia"/>
        </w:rPr>
        <w:t>。根据问卷结果反应出，企业的品牌影响力在相当程度上影响投资者的判断，即使是针对专业的机构投资者</w:t>
      </w:r>
      <w:r w:rsidRPr="00071444">
        <w:rPr>
          <w:rFonts w:asciiTheme="minorEastAsia" w:hAnsiTheme="minorEastAsia" w:hint="eastAsia"/>
        </w:rPr>
        <w:t>。</w:t>
      </w:r>
      <w:r w:rsidR="00392354" w:rsidRPr="00071444">
        <w:rPr>
          <w:rFonts w:asciiTheme="minorEastAsia" w:hAnsiTheme="minorEastAsia" w:hint="eastAsia"/>
        </w:rPr>
        <w:t>而除此以外，行业集中度</w:t>
      </w:r>
      <w:r w:rsidR="000A376B" w:rsidRPr="00071444">
        <w:rPr>
          <w:rFonts w:asciiTheme="minorEastAsia" w:hAnsiTheme="minorEastAsia" w:hint="eastAsia"/>
        </w:rPr>
        <w:t>则表现出了极为分散的状态，其中</w:t>
      </w:r>
      <w:r w:rsidR="00841084" w:rsidRPr="00071444">
        <w:rPr>
          <w:rFonts w:asciiTheme="minorEastAsia" w:hAnsiTheme="minorEastAsia" w:hint="eastAsia"/>
        </w:rPr>
        <w:t>投资者对</w:t>
      </w:r>
      <w:r w:rsidR="00392354" w:rsidRPr="00071444">
        <w:rPr>
          <w:rFonts w:asciiTheme="minorEastAsia" w:hAnsiTheme="minorEastAsia" w:hint="eastAsia"/>
        </w:rPr>
        <w:t>医疗科技</w:t>
      </w:r>
      <w:r w:rsidR="000A376B" w:rsidRPr="00071444">
        <w:rPr>
          <w:rFonts w:asciiTheme="minorEastAsia" w:hAnsiTheme="minorEastAsia" w:hint="eastAsia"/>
        </w:rPr>
        <w:t>与信息技术两大行业领域的投资偏好略高于其他。</w:t>
      </w:r>
    </w:p>
    <w:p w:rsidR="00841084" w:rsidRPr="00071444" w:rsidRDefault="00841084" w:rsidP="00071444">
      <w:pPr>
        <w:ind w:firstLineChars="200" w:firstLine="420"/>
        <w:rPr>
          <w:rFonts w:asciiTheme="minorEastAsia" w:hAnsiTheme="minorEastAsia"/>
        </w:rPr>
      </w:pPr>
    </w:p>
    <w:p w:rsidR="00B50598" w:rsidRPr="00071444" w:rsidRDefault="00841084" w:rsidP="00236148">
      <w:pPr>
        <w:rPr>
          <w:rFonts w:asciiTheme="minorEastAsia" w:hAnsiTheme="minorEastAsia"/>
          <w:b/>
          <w:sz w:val="24"/>
          <w:szCs w:val="24"/>
        </w:rPr>
      </w:pPr>
      <w:r w:rsidRPr="00071444">
        <w:rPr>
          <w:rFonts w:asciiTheme="minorEastAsia" w:hAnsiTheme="minorEastAsia" w:hint="eastAsia"/>
          <w:b/>
          <w:sz w:val="24"/>
          <w:szCs w:val="24"/>
        </w:rPr>
        <w:t>二、</w:t>
      </w:r>
      <w:r w:rsidR="001D59A6" w:rsidRPr="00071444">
        <w:rPr>
          <w:rFonts w:asciiTheme="minorEastAsia" w:hAnsiTheme="minorEastAsia" w:hint="eastAsia"/>
          <w:b/>
          <w:sz w:val="24"/>
          <w:szCs w:val="24"/>
        </w:rPr>
        <w:t>A</w:t>
      </w:r>
      <w:r w:rsidR="00AD390A" w:rsidRPr="00071444">
        <w:rPr>
          <w:rFonts w:asciiTheme="minorEastAsia" w:hAnsiTheme="minorEastAsia" w:hint="eastAsia"/>
          <w:b/>
          <w:sz w:val="24"/>
          <w:szCs w:val="24"/>
        </w:rPr>
        <w:t>股</w:t>
      </w:r>
      <w:r w:rsidR="007F5000" w:rsidRPr="00071444">
        <w:rPr>
          <w:rFonts w:asciiTheme="minorEastAsia" w:hAnsiTheme="minorEastAsia"/>
          <w:b/>
          <w:sz w:val="24"/>
          <w:szCs w:val="24"/>
        </w:rPr>
        <w:t>价值创造</w:t>
      </w:r>
      <w:r w:rsidR="00B50598" w:rsidRPr="00071444">
        <w:rPr>
          <w:rFonts w:asciiTheme="minorEastAsia" w:hAnsiTheme="minorEastAsia"/>
          <w:b/>
          <w:sz w:val="24"/>
          <w:szCs w:val="24"/>
        </w:rPr>
        <w:t>指数</w:t>
      </w:r>
    </w:p>
    <w:p w:rsidR="00841084" w:rsidRPr="00071444" w:rsidRDefault="00841084" w:rsidP="00071444">
      <w:pPr>
        <w:widowControl/>
        <w:ind w:firstLineChars="200" w:firstLine="482"/>
        <w:jc w:val="left"/>
        <w:rPr>
          <w:rFonts w:ascii="Calibri" w:eastAsia="宋体" w:hAnsi="Calibri" w:cs="Helvetica"/>
          <w:b/>
          <w:color w:val="000000"/>
          <w:kern w:val="0"/>
          <w:sz w:val="24"/>
          <w:szCs w:val="24"/>
        </w:rPr>
      </w:pP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rPr>
        <w:t>作为本次</w:t>
      </w:r>
      <w:r w:rsidR="007F5000" w:rsidRPr="00071444">
        <w:rPr>
          <w:rFonts w:asciiTheme="minorEastAsia" w:hAnsiTheme="minorEastAsia"/>
        </w:rPr>
        <w:t>报告</w:t>
      </w:r>
      <w:r w:rsidRPr="00071444">
        <w:rPr>
          <w:rFonts w:asciiTheme="minorEastAsia" w:hAnsiTheme="minorEastAsia"/>
        </w:rPr>
        <w:t>发布的学术支持方</w:t>
      </w:r>
      <w:r w:rsidRPr="00071444">
        <w:rPr>
          <w:rFonts w:asciiTheme="minorEastAsia" w:hAnsiTheme="minorEastAsia" w:hint="eastAsia"/>
        </w:rPr>
        <w:t>，</w:t>
      </w:r>
      <w:r w:rsidR="00E76FED" w:rsidRPr="00071444">
        <w:rPr>
          <w:rFonts w:asciiTheme="minorEastAsia" w:hAnsiTheme="minorEastAsia"/>
        </w:rPr>
        <w:t>上海交大</w:t>
      </w:r>
      <w:r w:rsidR="00E76FED" w:rsidRPr="00071444">
        <w:rPr>
          <w:rFonts w:asciiTheme="minorEastAsia" w:hAnsiTheme="minorEastAsia" w:hint="eastAsia"/>
        </w:rPr>
        <w:t>中国金融研究院公司金融研究中心课题小组</w:t>
      </w:r>
      <w:r w:rsidRPr="00071444">
        <w:rPr>
          <w:rFonts w:asciiTheme="minorEastAsia" w:hAnsiTheme="minorEastAsia"/>
        </w:rPr>
        <w:t>针对本轮上市公司价值管理评选选取了部分重要财务数据作为评估指标</w:t>
      </w:r>
      <w:r w:rsidRPr="00071444">
        <w:rPr>
          <w:rFonts w:asciiTheme="minorEastAsia" w:hAnsiTheme="minorEastAsia" w:hint="eastAsia"/>
        </w:rPr>
        <w:t>，</w:t>
      </w:r>
      <w:r w:rsidRPr="00071444">
        <w:rPr>
          <w:rFonts w:asciiTheme="minorEastAsia" w:hAnsiTheme="minorEastAsia"/>
        </w:rPr>
        <w:t>并根据相应权重设计了“A</w:t>
      </w:r>
      <w:r w:rsidR="00E76FED" w:rsidRPr="00071444">
        <w:rPr>
          <w:rFonts w:asciiTheme="minorEastAsia" w:hAnsiTheme="minorEastAsia" w:hint="eastAsia"/>
        </w:rPr>
        <w:t>股</w:t>
      </w:r>
      <w:r w:rsidR="007F5000" w:rsidRPr="00071444">
        <w:rPr>
          <w:rFonts w:asciiTheme="minorEastAsia" w:hAnsiTheme="minorEastAsia"/>
        </w:rPr>
        <w:t>价值创造</w:t>
      </w:r>
      <w:r w:rsidRPr="00071444">
        <w:rPr>
          <w:rFonts w:asciiTheme="minorEastAsia" w:hAnsiTheme="minorEastAsia"/>
        </w:rPr>
        <w:t>指数”</w:t>
      </w:r>
      <w:r w:rsidRPr="00071444">
        <w:rPr>
          <w:rFonts w:asciiTheme="minorEastAsia" w:hAnsiTheme="minorEastAsia" w:hint="eastAsia"/>
        </w:rPr>
        <w:t>，重点考察了企业为股东创造的价值、公司治理和信息披露三个维度，每一个维度选取了相应的考察指标。</w:t>
      </w:r>
    </w:p>
    <w:p w:rsidR="001B4B49" w:rsidRPr="00071444" w:rsidRDefault="001B4B49" w:rsidP="00071444">
      <w:pPr>
        <w:spacing w:line="360" w:lineRule="auto"/>
        <w:ind w:firstLineChars="200" w:firstLine="420"/>
        <w:rPr>
          <w:rFonts w:asciiTheme="minorEastAsia" w:hAnsiTheme="minorEastAsia"/>
        </w:rPr>
      </w:pPr>
      <w:r w:rsidRPr="00071444">
        <w:rPr>
          <w:rFonts w:asciiTheme="minorEastAsia" w:hAnsiTheme="minorEastAsia" w:hint="eastAsia"/>
        </w:rPr>
        <w:t>需要强调的是，本次排名的评估未参考股价的浮动因素。</w:t>
      </w: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rPr>
        <w:t>具体计算方式</w:t>
      </w:r>
      <w:r w:rsidRPr="00071444">
        <w:rPr>
          <w:rFonts w:asciiTheme="minorEastAsia" w:hAnsiTheme="minorEastAsia" w:hint="eastAsia"/>
        </w:rPr>
        <w:t>而言，</w:t>
      </w:r>
      <w:r w:rsidR="006E01E0" w:rsidRPr="00071444">
        <w:rPr>
          <w:rFonts w:asciiTheme="minorEastAsia" w:hAnsiTheme="minorEastAsia" w:hint="eastAsia"/>
        </w:rPr>
        <w:t>在每一个维度按照数据</w:t>
      </w:r>
      <w:r w:rsidRPr="00071444">
        <w:rPr>
          <w:rFonts w:asciiTheme="minorEastAsia" w:hAnsiTheme="minorEastAsia"/>
        </w:rPr>
        <w:t>排名最前的10%企业，</w:t>
      </w:r>
      <w:r w:rsidR="006E01E0" w:rsidRPr="00071444">
        <w:rPr>
          <w:rFonts w:asciiTheme="minorEastAsia" w:hAnsiTheme="minorEastAsia" w:hint="eastAsia"/>
        </w:rPr>
        <w:t>也就是在这个维度最</w:t>
      </w:r>
      <w:r w:rsidR="006E01E0" w:rsidRPr="00071444">
        <w:rPr>
          <w:rFonts w:asciiTheme="minorEastAsia" w:hAnsiTheme="minorEastAsia" w:hint="eastAsia"/>
        </w:rPr>
        <w:lastRenderedPageBreak/>
        <w:t>优秀的企业，</w:t>
      </w:r>
      <w:r w:rsidRPr="00071444">
        <w:rPr>
          <w:rFonts w:asciiTheme="minorEastAsia" w:hAnsiTheme="minorEastAsia"/>
        </w:rPr>
        <w:t>得10分，排在其次的10%得9分，依次</w:t>
      </w:r>
      <w:r w:rsidRPr="00071444">
        <w:rPr>
          <w:rFonts w:asciiTheme="minorEastAsia" w:hAnsiTheme="minorEastAsia" w:hint="eastAsia"/>
        </w:rPr>
        <w:t>递减</w:t>
      </w:r>
      <w:r w:rsidRPr="00071444">
        <w:rPr>
          <w:rFonts w:asciiTheme="minorEastAsia" w:hAnsiTheme="minorEastAsia"/>
        </w:rPr>
        <w:t>，排最后的10%得1分</w:t>
      </w:r>
      <w:r w:rsidRPr="00071444">
        <w:rPr>
          <w:rFonts w:asciiTheme="minorEastAsia" w:hAnsiTheme="minorEastAsia" w:hint="eastAsia"/>
        </w:rPr>
        <w:t>。</w:t>
      </w: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hint="eastAsia"/>
        </w:rPr>
        <w:t>最后汇总三项维度的得分，</w:t>
      </w:r>
      <w:r w:rsidRPr="00071444">
        <w:rPr>
          <w:rFonts w:asciiTheme="minorEastAsia" w:hAnsiTheme="minorEastAsia"/>
        </w:rPr>
        <w:t>根据每一个维度的权重计算出</w:t>
      </w:r>
      <w:r w:rsidRPr="00071444">
        <w:rPr>
          <w:rFonts w:asciiTheme="minorEastAsia" w:hAnsiTheme="minorEastAsia" w:hint="eastAsia"/>
        </w:rPr>
        <w:t>综合排名。</w:t>
      </w:r>
    </w:p>
    <w:p w:rsidR="00841084" w:rsidRPr="00071444" w:rsidRDefault="00841084" w:rsidP="00071444">
      <w:pPr>
        <w:rPr>
          <w:rFonts w:asciiTheme="minorEastAsia" w:hAnsiTheme="minorEastAsia"/>
          <w:b/>
          <w:sz w:val="24"/>
          <w:szCs w:val="24"/>
        </w:rPr>
      </w:pPr>
    </w:p>
    <w:p w:rsidR="00B50598" w:rsidRDefault="00B50598" w:rsidP="00071444">
      <w:pPr>
        <w:rPr>
          <w:rFonts w:asciiTheme="minorEastAsia" w:hAnsiTheme="minorEastAsia" w:hint="eastAsia"/>
          <w:b/>
          <w:sz w:val="24"/>
          <w:szCs w:val="24"/>
        </w:rPr>
      </w:pPr>
      <w:r w:rsidRPr="00071444">
        <w:rPr>
          <w:rFonts w:asciiTheme="minorEastAsia" w:hAnsiTheme="minorEastAsia"/>
          <w:b/>
          <w:sz w:val="24"/>
          <w:szCs w:val="24"/>
        </w:rPr>
        <w:t>第一个维度</w:t>
      </w:r>
      <w:r w:rsidRPr="00071444">
        <w:rPr>
          <w:rFonts w:asciiTheme="minorEastAsia" w:hAnsiTheme="minorEastAsia" w:hint="eastAsia"/>
          <w:b/>
          <w:sz w:val="24"/>
          <w:szCs w:val="24"/>
        </w:rPr>
        <w:t>：</w:t>
      </w:r>
      <w:r w:rsidRPr="00071444">
        <w:rPr>
          <w:rFonts w:asciiTheme="minorEastAsia" w:hAnsiTheme="minorEastAsia"/>
          <w:b/>
          <w:sz w:val="24"/>
          <w:szCs w:val="24"/>
        </w:rPr>
        <w:t>为股东创造的价值</w:t>
      </w:r>
    </w:p>
    <w:p w:rsidR="00071444" w:rsidRPr="00071444" w:rsidRDefault="00071444" w:rsidP="00071444">
      <w:pPr>
        <w:rPr>
          <w:rFonts w:asciiTheme="minorEastAsia" w:hAnsiTheme="minorEastAsia"/>
          <w:b/>
          <w:sz w:val="24"/>
          <w:szCs w:val="24"/>
        </w:rPr>
      </w:pP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rPr>
        <w:t>指标依据</w:t>
      </w:r>
      <w:r w:rsidRPr="00071444">
        <w:rPr>
          <w:rFonts w:asciiTheme="minorEastAsia" w:hAnsiTheme="minorEastAsia" w:hint="eastAsia"/>
        </w:rPr>
        <w:t>：ROE、现金红利率和长期投资回报率。</w:t>
      </w:r>
    </w:p>
    <w:p w:rsidR="00982EE5" w:rsidRPr="00071444" w:rsidRDefault="00982EE5" w:rsidP="00071444">
      <w:pPr>
        <w:spacing w:line="360" w:lineRule="auto"/>
        <w:ind w:firstLineChars="200" w:firstLine="420"/>
        <w:rPr>
          <w:rFonts w:asciiTheme="minorEastAsia" w:hAnsiTheme="minorEastAsia"/>
        </w:rPr>
      </w:pPr>
      <w:r w:rsidRPr="00071444">
        <w:rPr>
          <w:rFonts w:asciiTheme="minorEastAsia" w:hAnsiTheme="minorEastAsia"/>
        </w:rPr>
        <w:t>这三项指标</w:t>
      </w:r>
      <w:r w:rsidRPr="00071444">
        <w:rPr>
          <w:rFonts w:asciiTheme="minorEastAsia" w:hAnsiTheme="minorEastAsia" w:hint="eastAsia"/>
        </w:rPr>
        <w:t>分别</w:t>
      </w:r>
      <w:r w:rsidRPr="00071444">
        <w:rPr>
          <w:rFonts w:asciiTheme="minorEastAsia" w:hAnsiTheme="minorEastAsia"/>
        </w:rPr>
        <w:t>计算两组</w:t>
      </w:r>
      <w:r w:rsidRPr="00071444">
        <w:rPr>
          <w:rFonts w:asciiTheme="minorEastAsia" w:hAnsiTheme="minorEastAsia" w:hint="eastAsia"/>
        </w:rPr>
        <w:t>3年的数据，</w:t>
      </w:r>
      <w:r w:rsidRPr="00071444">
        <w:rPr>
          <w:rFonts w:asciiTheme="minorEastAsia" w:hAnsiTheme="minorEastAsia"/>
        </w:rPr>
        <w:t>分别为</w:t>
      </w:r>
      <w:r w:rsidRPr="00071444">
        <w:rPr>
          <w:rFonts w:asciiTheme="minorEastAsia" w:hAnsiTheme="minorEastAsia" w:hint="eastAsia"/>
        </w:rPr>
        <w:t>2013-2015年年度数据和2012-2014年年度数据。</w:t>
      </w:r>
      <w:r w:rsidR="001621BD" w:rsidRPr="00071444">
        <w:rPr>
          <w:rFonts w:asciiTheme="minorEastAsia" w:hAnsiTheme="minorEastAsia" w:hint="eastAsia"/>
        </w:rPr>
        <w:t>计算每个三年各项指标的平均值，然后再将同一个指标的两组数据再进行平均处理，最终得出每个指标的数据。同时考虑到行业的数据，我们将这三个指标分别在各自行业内进行打分，数值在行业内越大，他们所对应的分数就越高。</w:t>
      </w: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hint="eastAsia"/>
        </w:rPr>
        <w:t xml:space="preserve">1. </w:t>
      </w:r>
      <w:r w:rsidRPr="00071444">
        <w:rPr>
          <w:rFonts w:asciiTheme="minorEastAsia" w:hAnsiTheme="minorEastAsia"/>
        </w:rPr>
        <w:t>ROE股东或者净资产回报率： ROE = 净利润/净资产</w:t>
      </w:r>
      <w:r w:rsidRPr="00071444">
        <w:rPr>
          <w:rFonts w:asciiTheme="minorEastAsia" w:hAnsiTheme="minorEastAsia" w:hint="eastAsia"/>
        </w:rPr>
        <w:t>；</w:t>
      </w:r>
      <w:r w:rsidRPr="00071444">
        <w:rPr>
          <w:rFonts w:asciiTheme="minorEastAsia" w:hAnsiTheme="minorEastAsia"/>
        </w:rPr>
        <w:t>净资产是上一年（财政年度）年初和年末净资产的平均值。</w:t>
      </w: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hint="eastAsia"/>
        </w:rPr>
        <w:t xml:space="preserve">2. </w:t>
      </w:r>
      <w:r w:rsidRPr="00071444">
        <w:rPr>
          <w:rFonts w:asciiTheme="minorEastAsia" w:hAnsiTheme="minorEastAsia"/>
        </w:rPr>
        <w:t>现金红利率（不考虑股票分红）：</w:t>
      </w:r>
      <w:r w:rsidR="00297354" w:rsidRPr="00071444">
        <w:rPr>
          <w:rFonts w:asciiTheme="minorEastAsia" w:hAnsiTheme="minorEastAsia" w:hint="eastAsia"/>
          <w:b/>
        </w:rPr>
        <w:t>公司现金红利的收益率</w:t>
      </w:r>
      <w:r w:rsidR="00297354" w:rsidRPr="00071444">
        <w:rPr>
          <w:rFonts w:asciiTheme="minorEastAsia" w:hAnsiTheme="minorEastAsia"/>
          <w:b/>
        </w:rPr>
        <w:t xml:space="preserve"> = </w:t>
      </w:r>
      <w:r w:rsidR="00297354" w:rsidRPr="00071444">
        <w:rPr>
          <w:rFonts w:asciiTheme="minorEastAsia" w:hAnsiTheme="minorEastAsia" w:hint="eastAsia"/>
          <w:b/>
        </w:rPr>
        <w:t>去年发放的现金红利总额</w:t>
      </w:r>
      <w:r w:rsidR="00297354" w:rsidRPr="00071444">
        <w:rPr>
          <w:rFonts w:asciiTheme="minorEastAsia" w:hAnsiTheme="minorEastAsia"/>
          <w:b/>
        </w:rPr>
        <w:t>/</w:t>
      </w:r>
      <w:r w:rsidR="00297354" w:rsidRPr="00071444">
        <w:rPr>
          <w:rFonts w:asciiTheme="minorEastAsia" w:hAnsiTheme="minorEastAsia" w:hint="eastAsia"/>
          <w:b/>
        </w:rPr>
        <w:t>公司</w:t>
      </w:r>
      <w:r w:rsidR="00B7334E" w:rsidRPr="00071444">
        <w:rPr>
          <w:rFonts w:asciiTheme="minorEastAsia" w:hAnsiTheme="minorEastAsia" w:hint="eastAsia"/>
          <w:b/>
        </w:rPr>
        <w:t>净利润</w:t>
      </w:r>
      <w:r w:rsidR="00297354" w:rsidRPr="00071444">
        <w:rPr>
          <w:rFonts w:asciiTheme="minorEastAsia" w:hAnsiTheme="minorEastAsia" w:hint="eastAsia"/>
        </w:rPr>
        <w:t>。</w:t>
      </w:r>
      <w:r w:rsidRPr="00071444">
        <w:rPr>
          <w:rFonts w:asciiTheme="minorEastAsia" w:hAnsiTheme="minorEastAsia"/>
        </w:rPr>
        <w:t>一些不付现金红利的公司，他们的值就是0。</w:t>
      </w: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hint="eastAsia"/>
        </w:rPr>
        <w:t xml:space="preserve">3. </w:t>
      </w:r>
      <w:r w:rsidRPr="00071444">
        <w:rPr>
          <w:rFonts w:asciiTheme="minorEastAsia" w:hAnsiTheme="minorEastAsia"/>
        </w:rPr>
        <w:t>长期投资回报率</w:t>
      </w:r>
      <w:r w:rsidRPr="00071444">
        <w:rPr>
          <w:rFonts w:asciiTheme="minorEastAsia" w:hAnsiTheme="minorEastAsia" w:hint="eastAsia"/>
        </w:rPr>
        <w:t>：</w:t>
      </w:r>
      <w:r w:rsidRPr="00071444">
        <w:rPr>
          <w:rFonts w:asciiTheme="minorEastAsia" w:hAnsiTheme="minorEastAsia"/>
        </w:rPr>
        <w:t> 长期投资回报率 = 净现金流/账面资产；公司净现金流 = 经营现金流 – 长期投资或者固定资产投资（CAPEX）；经营现金流 = EBITDA –本年度运营资本的变化 –本年度企业所得税     </w:t>
      </w: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rPr>
        <w:t>以上三项指标分别所占比重为ROE（35%）</w:t>
      </w:r>
      <w:r w:rsidRPr="00071444">
        <w:rPr>
          <w:rFonts w:asciiTheme="minorEastAsia" w:hAnsiTheme="minorEastAsia" w:hint="eastAsia"/>
        </w:rPr>
        <w:t>、</w:t>
      </w:r>
      <w:r w:rsidRPr="00071444">
        <w:rPr>
          <w:rFonts w:asciiTheme="minorEastAsia" w:hAnsiTheme="minorEastAsia"/>
        </w:rPr>
        <w:t>现金红利率（30%）</w:t>
      </w:r>
      <w:r w:rsidRPr="00071444">
        <w:rPr>
          <w:rFonts w:asciiTheme="minorEastAsia" w:hAnsiTheme="minorEastAsia" w:hint="eastAsia"/>
        </w:rPr>
        <w:t>和</w:t>
      </w:r>
      <w:r w:rsidRPr="00071444">
        <w:rPr>
          <w:rFonts w:asciiTheme="minorEastAsia" w:hAnsiTheme="minorEastAsia"/>
        </w:rPr>
        <w:t>长期投资回报率（35%）</w:t>
      </w:r>
      <w:r w:rsidRPr="00071444">
        <w:rPr>
          <w:rFonts w:asciiTheme="minorEastAsia" w:hAnsiTheme="minorEastAsia" w:hint="eastAsia"/>
        </w:rPr>
        <w:t>，</w:t>
      </w:r>
      <w:r w:rsidRPr="00071444">
        <w:rPr>
          <w:rFonts w:asciiTheme="minorEastAsia" w:hAnsiTheme="minorEastAsia"/>
        </w:rPr>
        <w:t>综合计算得出该维度得分</w:t>
      </w:r>
      <w:r w:rsidRPr="00071444">
        <w:rPr>
          <w:rFonts w:asciiTheme="minorEastAsia" w:hAnsiTheme="minorEastAsia" w:hint="eastAsia"/>
        </w:rPr>
        <w:t>。</w:t>
      </w:r>
    </w:p>
    <w:p w:rsidR="00F02D86" w:rsidRDefault="00F02D86" w:rsidP="00236148">
      <w:pPr>
        <w:widowControl/>
        <w:ind w:firstLineChars="200" w:firstLine="482"/>
        <w:jc w:val="left"/>
        <w:rPr>
          <w:rFonts w:ascii="Calibri" w:eastAsia="宋体" w:hAnsi="Calibri" w:cs="Helvetica"/>
          <w:b/>
          <w:color w:val="000000"/>
          <w:kern w:val="0"/>
          <w:sz w:val="24"/>
          <w:szCs w:val="24"/>
        </w:rPr>
      </w:pPr>
    </w:p>
    <w:p w:rsidR="00B50598" w:rsidRDefault="00B50598" w:rsidP="00071444">
      <w:pPr>
        <w:rPr>
          <w:rFonts w:asciiTheme="minorEastAsia" w:hAnsiTheme="minorEastAsia" w:hint="eastAsia"/>
          <w:b/>
          <w:sz w:val="24"/>
          <w:szCs w:val="24"/>
        </w:rPr>
      </w:pPr>
      <w:r w:rsidRPr="00071444">
        <w:rPr>
          <w:rFonts w:asciiTheme="minorEastAsia" w:hAnsiTheme="minorEastAsia" w:hint="eastAsia"/>
          <w:b/>
          <w:sz w:val="24"/>
          <w:szCs w:val="24"/>
        </w:rPr>
        <w:t>第二个</w:t>
      </w:r>
      <w:r w:rsidRPr="00071444">
        <w:rPr>
          <w:rFonts w:asciiTheme="minorEastAsia" w:hAnsiTheme="minorEastAsia"/>
          <w:b/>
          <w:sz w:val="24"/>
          <w:szCs w:val="24"/>
        </w:rPr>
        <w:t>维度</w:t>
      </w:r>
      <w:r w:rsidRPr="00071444">
        <w:rPr>
          <w:rFonts w:asciiTheme="minorEastAsia" w:hAnsiTheme="minorEastAsia" w:hint="eastAsia"/>
          <w:b/>
          <w:sz w:val="24"/>
          <w:szCs w:val="24"/>
        </w:rPr>
        <w:t>：</w:t>
      </w:r>
      <w:r w:rsidRPr="00071444">
        <w:rPr>
          <w:rFonts w:asciiTheme="minorEastAsia" w:hAnsiTheme="minorEastAsia"/>
          <w:b/>
          <w:sz w:val="24"/>
          <w:szCs w:val="24"/>
        </w:rPr>
        <w:t>公司治理</w:t>
      </w:r>
      <w:r w:rsidRPr="00071444">
        <w:rPr>
          <w:rFonts w:asciiTheme="minorEastAsia" w:hAnsiTheme="minorEastAsia" w:hint="eastAsia"/>
          <w:b/>
          <w:sz w:val="24"/>
          <w:szCs w:val="24"/>
        </w:rPr>
        <w:t>。</w:t>
      </w:r>
    </w:p>
    <w:p w:rsidR="00071444" w:rsidRPr="00071444" w:rsidRDefault="00071444" w:rsidP="00071444">
      <w:pPr>
        <w:rPr>
          <w:rFonts w:asciiTheme="minorEastAsia" w:hAnsiTheme="minorEastAsia"/>
          <w:b/>
          <w:sz w:val="24"/>
          <w:szCs w:val="24"/>
        </w:rPr>
      </w:pP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rPr>
        <w:t>其他应收账款量</w:t>
      </w:r>
      <w:r w:rsidRPr="00071444">
        <w:rPr>
          <w:rFonts w:asciiTheme="minorEastAsia" w:hAnsiTheme="minorEastAsia" w:hint="eastAsia"/>
        </w:rPr>
        <w:t>：</w:t>
      </w:r>
      <w:r w:rsidRPr="00071444">
        <w:rPr>
          <w:rFonts w:asciiTheme="minorEastAsia" w:hAnsiTheme="minorEastAsia"/>
        </w:rPr>
        <w:t> 其他应收账款/公司账面资产。</w:t>
      </w:r>
    </w:p>
    <w:p w:rsidR="00F03978" w:rsidRPr="00071444" w:rsidRDefault="00F02D86" w:rsidP="00071444">
      <w:pPr>
        <w:spacing w:line="360" w:lineRule="auto"/>
        <w:ind w:firstLineChars="200" w:firstLine="420"/>
        <w:rPr>
          <w:rFonts w:asciiTheme="minorEastAsia" w:hAnsiTheme="minorEastAsia"/>
        </w:rPr>
      </w:pPr>
      <w:r w:rsidRPr="00071444">
        <w:rPr>
          <w:rFonts w:asciiTheme="minorEastAsia" w:hAnsiTheme="minorEastAsia" w:hint="eastAsia"/>
        </w:rPr>
        <w:t>所有公司与大股东和关联方的交易产生的应收账款都纪录在</w:t>
      </w:r>
      <w:r w:rsidR="00297354" w:rsidRPr="00071444">
        <w:rPr>
          <w:rFonts w:asciiTheme="minorEastAsia" w:hAnsiTheme="minorEastAsia" w:hint="eastAsia"/>
        </w:rPr>
        <w:t>其他应收账款</w:t>
      </w:r>
      <w:r w:rsidRPr="00071444">
        <w:rPr>
          <w:rFonts w:asciiTheme="minorEastAsia" w:hAnsiTheme="minorEastAsia" w:hint="eastAsia"/>
        </w:rPr>
        <w:t>中，故该款项（相对公司总资产）</w:t>
      </w:r>
      <w:r w:rsidR="00297354" w:rsidRPr="00071444">
        <w:rPr>
          <w:rFonts w:asciiTheme="minorEastAsia" w:hAnsiTheme="minorEastAsia" w:hint="eastAsia"/>
        </w:rPr>
        <w:t>越高，说明</w:t>
      </w:r>
      <w:r w:rsidRPr="00071444">
        <w:rPr>
          <w:rFonts w:asciiTheme="minorEastAsia" w:hAnsiTheme="minorEastAsia" w:hint="eastAsia"/>
        </w:rPr>
        <w:t>大股东以及公司所有关联方对公司欠款越高，公司的</w:t>
      </w:r>
      <w:r w:rsidR="00297354" w:rsidRPr="00071444">
        <w:rPr>
          <w:rFonts w:asciiTheme="minorEastAsia" w:hAnsiTheme="minorEastAsia" w:hint="eastAsia"/>
        </w:rPr>
        <w:t>治理待优化的空间越大</w:t>
      </w:r>
      <w:r w:rsidR="00F03978" w:rsidRPr="00071444">
        <w:rPr>
          <w:rFonts w:asciiTheme="minorEastAsia" w:hAnsiTheme="minorEastAsia" w:hint="eastAsia"/>
        </w:rPr>
        <w:t>，该公司在这一维度的得分越低</w:t>
      </w:r>
      <w:r w:rsidR="00297354" w:rsidRPr="00071444">
        <w:rPr>
          <w:rFonts w:asciiTheme="minorEastAsia" w:hAnsiTheme="minorEastAsia" w:hint="eastAsia"/>
        </w:rPr>
        <w:t>。</w:t>
      </w:r>
    </w:p>
    <w:p w:rsidR="00297354" w:rsidRPr="00071444" w:rsidRDefault="00F03978" w:rsidP="00071444">
      <w:pPr>
        <w:spacing w:line="360" w:lineRule="auto"/>
        <w:ind w:firstLineChars="200" w:firstLine="420"/>
        <w:rPr>
          <w:rFonts w:asciiTheme="minorEastAsia" w:hAnsiTheme="minorEastAsia"/>
        </w:rPr>
      </w:pPr>
      <w:r w:rsidRPr="00071444" w:rsidDel="00F03978">
        <w:rPr>
          <w:rFonts w:asciiTheme="minorEastAsia" w:hAnsiTheme="minorEastAsia" w:hint="eastAsia"/>
        </w:rPr>
        <w:t xml:space="preserve"> </w:t>
      </w:r>
    </w:p>
    <w:p w:rsidR="00B50598" w:rsidRDefault="007F5000" w:rsidP="00071444">
      <w:pPr>
        <w:widowControl/>
        <w:jc w:val="left"/>
        <w:rPr>
          <w:rFonts w:asciiTheme="minorEastAsia" w:hAnsiTheme="minorEastAsia" w:hint="eastAsia"/>
          <w:b/>
          <w:sz w:val="24"/>
          <w:szCs w:val="24"/>
        </w:rPr>
      </w:pPr>
      <w:r w:rsidRPr="00071444">
        <w:rPr>
          <w:rFonts w:asciiTheme="minorEastAsia" w:hAnsiTheme="minorEastAsia"/>
          <w:b/>
          <w:sz w:val="24"/>
          <w:szCs w:val="24"/>
        </w:rPr>
        <w:t>第三</w:t>
      </w:r>
      <w:r w:rsidR="00841084" w:rsidRPr="00071444">
        <w:rPr>
          <w:rFonts w:asciiTheme="minorEastAsia" w:hAnsiTheme="minorEastAsia"/>
          <w:b/>
          <w:sz w:val="24"/>
          <w:szCs w:val="24"/>
        </w:rPr>
        <w:t>个</w:t>
      </w:r>
      <w:r w:rsidRPr="00071444">
        <w:rPr>
          <w:rFonts w:asciiTheme="minorEastAsia" w:hAnsiTheme="minorEastAsia"/>
          <w:b/>
          <w:sz w:val="24"/>
          <w:szCs w:val="24"/>
        </w:rPr>
        <w:t>维度</w:t>
      </w:r>
      <w:r w:rsidR="00B50598" w:rsidRPr="00071444">
        <w:rPr>
          <w:rFonts w:asciiTheme="minorEastAsia" w:hAnsiTheme="minorEastAsia"/>
          <w:b/>
          <w:sz w:val="24"/>
          <w:szCs w:val="24"/>
        </w:rPr>
        <w:t>：信息披露</w:t>
      </w:r>
    </w:p>
    <w:p w:rsidR="00071444" w:rsidRPr="00071444" w:rsidRDefault="00071444" w:rsidP="00071444">
      <w:pPr>
        <w:widowControl/>
        <w:jc w:val="left"/>
        <w:rPr>
          <w:rFonts w:asciiTheme="minorEastAsia" w:hAnsiTheme="minorEastAsia"/>
          <w:b/>
          <w:sz w:val="24"/>
          <w:szCs w:val="24"/>
        </w:rPr>
      </w:pP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rPr>
        <w:t>这一部分重点关心公司披露的关键信息，比如净利润等关键指标的可靠性</w:t>
      </w:r>
      <w:r w:rsidRPr="00071444">
        <w:rPr>
          <w:rFonts w:asciiTheme="minorEastAsia" w:hAnsiTheme="minorEastAsia" w:hint="eastAsia"/>
        </w:rPr>
        <w:t>。</w:t>
      </w: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hint="eastAsia"/>
        </w:rPr>
        <w:t>需要强调的是，信息披露维度中四项指标</w:t>
      </w:r>
      <w:r w:rsidR="00F03978" w:rsidRPr="00071444">
        <w:rPr>
          <w:rFonts w:asciiTheme="minorEastAsia" w:hAnsiTheme="minorEastAsia" w:hint="eastAsia"/>
        </w:rPr>
        <w:t>评估</w:t>
      </w:r>
      <w:r w:rsidRPr="00071444">
        <w:rPr>
          <w:rFonts w:asciiTheme="minorEastAsia" w:hAnsiTheme="minorEastAsia"/>
        </w:rPr>
        <w:t>公司通过财技操作的利润空间</w:t>
      </w:r>
      <w:r w:rsidR="00F03978" w:rsidRPr="00071444">
        <w:rPr>
          <w:rFonts w:asciiTheme="minorEastAsia" w:hAnsiTheme="minorEastAsia" w:hint="eastAsia"/>
        </w:rPr>
        <w:t>的</w:t>
      </w:r>
      <w:r w:rsidRPr="00071444">
        <w:rPr>
          <w:rFonts w:asciiTheme="minorEastAsia" w:hAnsiTheme="minorEastAsia"/>
        </w:rPr>
        <w:t>“润滑度”</w:t>
      </w:r>
      <w:r w:rsidR="00F03978" w:rsidRPr="00071444">
        <w:rPr>
          <w:rFonts w:asciiTheme="minorEastAsia" w:hAnsiTheme="minorEastAsia" w:hint="eastAsia"/>
        </w:rPr>
        <w:t>，</w:t>
      </w:r>
      <w:r w:rsidR="00F03978" w:rsidRPr="00071444">
        <w:rPr>
          <w:rFonts w:asciiTheme="minorEastAsia" w:hAnsiTheme="minorEastAsia"/>
        </w:rPr>
        <w:t>润滑度</w:t>
      </w:r>
      <w:r w:rsidRPr="00071444">
        <w:rPr>
          <w:rFonts w:asciiTheme="minorEastAsia" w:hAnsiTheme="minorEastAsia"/>
        </w:rPr>
        <w:t>越高</w:t>
      </w:r>
      <w:r w:rsidRPr="00071444">
        <w:rPr>
          <w:rFonts w:asciiTheme="minorEastAsia" w:hAnsiTheme="minorEastAsia" w:hint="eastAsia"/>
        </w:rPr>
        <w:t>，公司披露</w:t>
      </w:r>
      <w:r w:rsidRPr="00071444">
        <w:rPr>
          <w:rFonts w:asciiTheme="minorEastAsia" w:hAnsiTheme="minorEastAsia"/>
        </w:rPr>
        <w:t>的财务数据不靠谱的可能性也越高</w:t>
      </w:r>
      <w:r w:rsidR="00F03978" w:rsidRPr="00071444">
        <w:rPr>
          <w:rFonts w:asciiTheme="minorEastAsia" w:hAnsiTheme="minorEastAsia" w:hint="eastAsia"/>
        </w:rPr>
        <w:t>，公司的最后得分就越低</w:t>
      </w:r>
      <w:r w:rsidRPr="00071444">
        <w:rPr>
          <w:rFonts w:asciiTheme="minorEastAsia" w:hAnsiTheme="minorEastAsia"/>
        </w:rPr>
        <w:t>。</w:t>
      </w:r>
      <w:r w:rsidR="00F03978" w:rsidRPr="00071444" w:rsidDel="00F03978">
        <w:rPr>
          <w:rFonts w:asciiTheme="minorEastAsia" w:hAnsiTheme="minorEastAsia"/>
        </w:rPr>
        <w:t xml:space="preserve"> </w:t>
      </w: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rPr>
        <w:lastRenderedPageBreak/>
        <w:t>1</w:t>
      </w:r>
      <w:r w:rsidRPr="00071444">
        <w:rPr>
          <w:rFonts w:asciiTheme="minorEastAsia" w:hAnsiTheme="minorEastAsia" w:hint="eastAsia"/>
        </w:rPr>
        <w:t>.</w:t>
      </w:r>
      <w:r w:rsidRPr="00071444">
        <w:rPr>
          <w:rFonts w:asciiTheme="minorEastAsia" w:hAnsiTheme="minorEastAsia"/>
        </w:rPr>
        <w:t>公司</w:t>
      </w:r>
      <w:r w:rsidR="00F03978" w:rsidRPr="00071444">
        <w:rPr>
          <w:rFonts w:asciiTheme="minorEastAsia" w:hAnsiTheme="minorEastAsia" w:hint="eastAsia"/>
        </w:rPr>
        <w:t>披露</w:t>
      </w:r>
      <w:r w:rsidRPr="00071444">
        <w:rPr>
          <w:rFonts w:asciiTheme="minorEastAsia" w:hAnsiTheme="minorEastAsia" w:hint="eastAsia"/>
        </w:rPr>
        <w:t>“</w:t>
      </w:r>
      <w:r w:rsidRPr="00071444">
        <w:rPr>
          <w:rFonts w:asciiTheme="minorEastAsia" w:hAnsiTheme="minorEastAsia"/>
        </w:rPr>
        <w:t>很小的利润</w:t>
      </w:r>
      <w:r w:rsidRPr="00071444">
        <w:rPr>
          <w:rFonts w:asciiTheme="minorEastAsia" w:hAnsiTheme="minorEastAsia" w:hint="eastAsia"/>
        </w:rPr>
        <w:t>”</w:t>
      </w:r>
      <w:r w:rsidRPr="00071444">
        <w:rPr>
          <w:rFonts w:asciiTheme="minorEastAsia" w:hAnsiTheme="minorEastAsia"/>
        </w:rPr>
        <w:t>的频率。</w:t>
      </w: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rPr>
        <w:t> 很小的利润定义是每股小于2分钱的税后净利润。如果公司披露的信息表明经常有很小的利润，企业粉饰报表的可能性就非常高。如果</w:t>
      </w:r>
      <w:r w:rsidR="00F03978" w:rsidRPr="00071444">
        <w:rPr>
          <w:rFonts w:asciiTheme="minorEastAsia" w:hAnsiTheme="minorEastAsia" w:hint="eastAsia"/>
        </w:rPr>
        <w:t>某一个</w:t>
      </w:r>
      <w:r w:rsidRPr="00071444">
        <w:rPr>
          <w:rFonts w:asciiTheme="minorEastAsia" w:hAnsiTheme="minorEastAsia"/>
        </w:rPr>
        <w:t>季度企业的每股利润在0到0.02元浮动，那么这个季度就算是汇报了“很小的利润”。</w:t>
      </w: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rPr>
        <w:t>该指标将统计每个公司最近三年获得很小利润的次数</w:t>
      </w:r>
      <w:r w:rsidRPr="00071444">
        <w:rPr>
          <w:rFonts w:asciiTheme="minorEastAsia" w:hAnsiTheme="minorEastAsia" w:hint="eastAsia"/>
        </w:rPr>
        <w:t>，</w:t>
      </w:r>
      <w:r w:rsidRPr="00071444">
        <w:rPr>
          <w:rFonts w:asciiTheme="minorEastAsia" w:hAnsiTheme="minorEastAsia"/>
        </w:rPr>
        <w:t>并除以</w:t>
      </w:r>
      <w:r w:rsidRPr="00071444">
        <w:rPr>
          <w:rFonts w:asciiTheme="minorEastAsia" w:hAnsiTheme="minorEastAsia" w:hint="eastAsia"/>
        </w:rPr>
        <w:t>12即</w:t>
      </w:r>
      <w:r w:rsidRPr="00071444">
        <w:rPr>
          <w:rFonts w:asciiTheme="minorEastAsia" w:hAnsiTheme="minorEastAsia"/>
        </w:rPr>
        <w:t>季度总数</w:t>
      </w:r>
      <w:r w:rsidRPr="00071444">
        <w:rPr>
          <w:rFonts w:asciiTheme="minorEastAsia" w:hAnsiTheme="minorEastAsia" w:hint="eastAsia"/>
        </w:rPr>
        <w:t>，得出公司获得“很小的利润”的频率</w:t>
      </w:r>
      <w:r w:rsidRPr="00071444">
        <w:rPr>
          <w:rFonts w:asciiTheme="minorEastAsia" w:hAnsiTheme="minorEastAsia"/>
        </w:rPr>
        <w:t>。</w:t>
      </w:r>
      <w:r w:rsidR="00F03978" w:rsidRPr="00071444">
        <w:rPr>
          <w:rFonts w:asciiTheme="minorEastAsia" w:hAnsiTheme="minorEastAsia" w:hint="eastAsia"/>
        </w:rPr>
        <w:t>频率越高，公司得分越低。</w:t>
      </w: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rPr>
        <w:t>2</w:t>
      </w:r>
      <w:r w:rsidRPr="00071444">
        <w:rPr>
          <w:rFonts w:asciiTheme="minorEastAsia" w:hAnsiTheme="minorEastAsia" w:hint="eastAsia"/>
        </w:rPr>
        <w:t xml:space="preserve">. </w:t>
      </w:r>
      <w:r w:rsidRPr="00071444">
        <w:rPr>
          <w:rFonts w:asciiTheme="minorEastAsia" w:hAnsiTheme="minorEastAsia"/>
        </w:rPr>
        <w:t>应计项目利润的标准方差/经营现金流的标准方差:</w:t>
      </w: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rPr>
        <w:t>经营现金流是一个披露科目，直接从现金流量表可以获取。然后从损益表数据中获取营业利润。营业利润 - 经营现金流 = 应计项目利润。</w:t>
      </w: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rPr>
        <w:t>采用每一个季度的流量数据，而非累计数据。并计算每个公司这两个变量的标准差。总共采用近三年的每个季度的数据。</w:t>
      </w: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rPr>
        <w:t>最后，计算应计项目的标准差/经营现金流的标准差。</w:t>
      </w: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hint="eastAsia"/>
        </w:rPr>
        <w:t xml:space="preserve">3. </w:t>
      </w:r>
      <w:r w:rsidRPr="00071444">
        <w:rPr>
          <w:rFonts w:asciiTheme="minorEastAsia" w:hAnsiTheme="minorEastAsia"/>
        </w:rPr>
        <w:t>应计项目的绝对值的平均值/经营现金流的绝对值的平均值：</w:t>
      </w: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rPr>
        <w:t>经营现金流直接从现金流量表获取，并从损益表数据中获取营业利润。营业利润 - 经营现金流 = 应计项目利润。</w:t>
      </w: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rPr>
        <w:t>接着，计算应计项目利润和经营现金流的绝对值。</w:t>
      </w: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rPr>
        <w:t>同样采用当季的流量数据，而非累计数据。</w:t>
      </w: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rPr>
        <w:t>然后，计算每个公司这两个变量的绝对值的平均值。总共采用近三年的每个季度的数据。</w:t>
      </w: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rPr>
        <w:t>最后，计算应计项目的绝对值的平均值/经营现金流的绝对值的平均值。   </w:t>
      </w: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rPr>
        <w:t>4。应计项目的变化的时间序列和（同期的）经营性现金流的变化的时间序列的关联系数：</w:t>
      </w: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rPr>
        <w:t>根据以上方法计算应计项目利润和经营现金流之后</w:t>
      </w:r>
      <w:r w:rsidRPr="00071444">
        <w:rPr>
          <w:rFonts w:asciiTheme="minorEastAsia" w:hAnsiTheme="minorEastAsia" w:hint="eastAsia"/>
        </w:rPr>
        <w:t>，</w:t>
      </w:r>
      <w:r w:rsidRPr="00071444">
        <w:rPr>
          <w:rFonts w:asciiTheme="minorEastAsia" w:hAnsiTheme="minorEastAsia"/>
        </w:rPr>
        <w:t>计算应计项目利润和经营现金流的变化，即本季度数据减去去年同季度数据。同样采用本季的流量数据，而非累计数据。总共采用近三年的每个季度的数据。</w:t>
      </w: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rPr>
        <w:t>最后，计算这两个变量的时间序列的关联性系数。可以取一个公司最近三年的每个季度的数据。如果关联性过高（即过于负），说明公司“润滑”利润的可能性越大。</w:t>
      </w:r>
    </w:p>
    <w:p w:rsidR="00B50598" w:rsidRPr="00071444" w:rsidRDefault="00B50598" w:rsidP="00071444">
      <w:pPr>
        <w:spacing w:line="360" w:lineRule="auto"/>
        <w:ind w:firstLineChars="200" w:firstLine="420"/>
        <w:rPr>
          <w:rFonts w:asciiTheme="minorEastAsia" w:hAnsiTheme="minorEastAsia"/>
        </w:rPr>
      </w:pPr>
      <w:r w:rsidRPr="00071444">
        <w:rPr>
          <w:rFonts w:asciiTheme="minorEastAsia" w:hAnsiTheme="minorEastAsia"/>
        </w:rPr>
        <w:t>针对信息披露质量的评估，以上四个指标每项各占25%的权重。</w:t>
      </w:r>
    </w:p>
    <w:p w:rsidR="00F03978" w:rsidRPr="00071444" w:rsidRDefault="00F03978" w:rsidP="00071444">
      <w:pPr>
        <w:spacing w:line="360" w:lineRule="auto"/>
        <w:ind w:firstLineChars="200" w:firstLine="420"/>
        <w:rPr>
          <w:rFonts w:asciiTheme="minorEastAsia" w:hAnsiTheme="minorEastAsia"/>
        </w:rPr>
      </w:pPr>
    </w:p>
    <w:p w:rsidR="00B50598" w:rsidRPr="00071444" w:rsidRDefault="00F03978" w:rsidP="00071444">
      <w:pPr>
        <w:spacing w:line="360" w:lineRule="auto"/>
        <w:ind w:firstLineChars="200" w:firstLine="420"/>
        <w:rPr>
          <w:rFonts w:asciiTheme="minorEastAsia" w:hAnsiTheme="minorEastAsia"/>
        </w:rPr>
      </w:pPr>
      <w:r w:rsidRPr="00071444">
        <w:rPr>
          <w:rFonts w:asciiTheme="minorEastAsia" w:hAnsiTheme="minorEastAsia" w:hint="eastAsia"/>
        </w:rPr>
        <w:t>最后，</w:t>
      </w:r>
      <w:r w:rsidR="00B50598" w:rsidRPr="00071444">
        <w:rPr>
          <w:rFonts w:asciiTheme="minorEastAsia" w:hAnsiTheme="minorEastAsia" w:hint="eastAsia"/>
        </w:rPr>
        <w:t>当三项维度分别计算出相应得分，</w:t>
      </w:r>
      <w:r w:rsidRPr="00071444">
        <w:rPr>
          <w:rFonts w:asciiTheme="minorEastAsia" w:hAnsiTheme="minorEastAsia" w:hint="eastAsia"/>
        </w:rPr>
        <w:t>A股</w:t>
      </w:r>
      <w:r w:rsidR="007F5000" w:rsidRPr="00071444">
        <w:rPr>
          <w:rFonts w:asciiTheme="minorEastAsia" w:hAnsiTheme="minorEastAsia"/>
        </w:rPr>
        <w:t>价值创造</w:t>
      </w:r>
      <w:r w:rsidR="00B50598" w:rsidRPr="00071444">
        <w:rPr>
          <w:rFonts w:asciiTheme="minorEastAsia" w:hAnsiTheme="minorEastAsia"/>
        </w:rPr>
        <w:t>指数将根据每一个维度的权重计算出</w:t>
      </w:r>
      <w:r w:rsidR="00B50598" w:rsidRPr="00071444">
        <w:rPr>
          <w:rFonts w:asciiTheme="minorEastAsia" w:hAnsiTheme="minorEastAsia" w:hint="eastAsia"/>
        </w:rPr>
        <w:t>综合排名，即：</w:t>
      </w:r>
      <w:r w:rsidR="007F5000" w:rsidRPr="00071444">
        <w:rPr>
          <w:rFonts w:asciiTheme="minorEastAsia" w:hAnsiTheme="minorEastAsia"/>
        </w:rPr>
        <w:t>价值创造</w:t>
      </w:r>
      <w:r w:rsidR="00B50598" w:rsidRPr="00071444">
        <w:rPr>
          <w:rFonts w:asciiTheme="minorEastAsia" w:hAnsiTheme="minorEastAsia"/>
        </w:rPr>
        <w:t>指数</w:t>
      </w:r>
      <w:r w:rsidR="00B50598" w:rsidRPr="00071444">
        <w:rPr>
          <w:rFonts w:asciiTheme="minorEastAsia" w:hAnsiTheme="minorEastAsia" w:hint="eastAsia"/>
        </w:rPr>
        <w:t>=</w:t>
      </w:r>
      <w:r w:rsidR="00B50598" w:rsidRPr="00071444">
        <w:rPr>
          <w:rFonts w:asciiTheme="minorEastAsia" w:hAnsiTheme="minorEastAsia"/>
        </w:rPr>
        <w:t>价值创造</w:t>
      </w:r>
      <w:r w:rsidR="00B50598" w:rsidRPr="00071444">
        <w:rPr>
          <w:rFonts w:asciiTheme="minorEastAsia" w:hAnsiTheme="minorEastAsia" w:hint="eastAsia"/>
        </w:rPr>
        <w:t>*50</w:t>
      </w:r>
      <w:r w:rsidR="00B50598" w:rsidRPr="00071444">
        <w:rPr>
          <w:rFonts w:asciiTheme="minorEastAsia" w:hAnsiTheme="minorEastAsia"/>
        </w:rPr>
        <w:t>%</w:t>
      </w:r>
      <w:r w:rsidR="00B50598" w:rsidRPr="00071444">
        <w:rPr>
          <w:rFonts w:asciiTheme="minorEastAsia" w:hAnsiTheme="minorEastAsia" w:hint="eastAsia"/>
        </w:rPr>
        <w:t>+</w:t>
      </w:r>
      <w:r w:rsidR="00B50598" w:rsidRPr="00071444">
        <w:rPr>
          <w:rFonts w:asciiTheme="minorEastAsia" w:hAnsiTheme="minorEastAsia"/>
        </w:rPr>
        <w:t>公司治理</w:t>
      </w:r>
      <w:r w:rsidR="00B50598" w:rsidRPr="00071444">
        <w:rPr>
          <w:rFonts w:asciiTheme="minorEastAsia" w:hAnsiTheme="minorEastAsia" w:hint="eastAsia"/>
        </w:rPr>
        <w:t>*1</w:t>
      </w:r>
      <w:r w:rsidR="00B50598" w:rsidRPr="00071444">
        <w:rPr>
          <w:rFonts w:asciiTheme="minorEastAsia" w:hAnsiTheme="minorEastAsia"/>
        </w:rPr>
        <w:t>5%</w:t>
      </w:r>
      <w:r w:rsidR="00B50598" w:rsidRPr="00071444">
        <w:rPr>
          <w:rFonts w:asciiTheme="minorEastAsia" w:hAnsiTheme="minorEastAsia" w:hint="eastAsia"/>
        </w:rPr>
        <w:t>+</w:t>
      </w:r>
      <w:r w:rsidR="00B50598" w:rsidRPr="00071444">
        <w:rPr>
          <w:rFonts w:asciiTheme="minorEastAsia" w:hAnsiTheme="minorEastAsia"/>
        </w:rPr>
        <w:t>信息披露</w:t>
      </w:r>
      <w:r w:rsidR="00B50598" w:rsidRPr="00071444">
        <w:rPr>
          <w:rFonts w:asciiTheme="minorEastAsia" w:hAnsiTheme="minorEastAsia" w:hint="eastAsia"/>
        </w:rPr>
        <w:t>*</w:t>
      </w:r>
      <w:r w:rsidR="00B50598" w:rsidRPr="00071444">
        <w:rPr>
          <w:rFonts w:asciiTheme="minorEastAsia" w:hAnsiTheme="minorEastAsia"/>
        </w:rPr>
        <w:t>3</w:t>
      </w:r>
      <w:r w:rsidR="00B50598" w:rsidRPr="00071444">
        <w:rPr>
          <w:rFonts w:asciiTheme="minorEastAsia" w:hAnsiTheme="minorEastAsia" w:hint="eastAsia"/>
        </w:rPr>
        <w:t>5</w:t>
      </w:r>
      <w:r w:rsidR="00B50598" w:rsidRPr="00071444">
        <w:rPr>
          <w:rFonts w:asciiTheme="minorEastAsia" w:hAnsiTheme="minorEastAsia"/>
        </w:rPr>
        <w:t>%</w:t>
      </w:r>
      <w:r w:rsidR="00B50598" w:rsidRPr="00071444">
        <w:rPr>
          <w:rFonts w:asciiTheme="minorEastAsia" w:hAnsiTheme="minorEastAsia" w:hint="eastAsia"/>
        </w:rPr>
        <w:t>。</w:t>
      </w:r>
    </w:p>
    <w:p w:rsidR="00E9395B" w:rsidRPr="00071444" w:rsidRDefault="00E9395B" w:rsidP="00071444">
      <w:pPr>
        <w:spacing w:line="360" w:lineRule="auto"/>
        <w:ind w:firstLineChars="200" w:firstLine="420"/>
        <w:rPr>
          <w:rFonts w:asciiTheme="minorEastAsia" w:hAnsiTheme="minorEastAsia"/>
        </w:rPr>
      </w:pPr>
    </w:p>
    <w:p w:rsidR="00AA32F5" w:rsidRPr="00071444" w:rsidRDefault="00841084" w:rsidP="00236148">
      <w:pPr>
        <w:rPr>
          <w:rFonts w:asciiTheme="minorEastAsia" w:hAnsiTheme="minorEastAsia"/>
          <w:b/>
          <w:sz w:val="24"/>
          <w:szCs w:val="24"/>
        </w:rPr>
      </w:pPr>
      <w:r w:rsidRPr="00071444">
        <w:rPr>
          <w:rFonts w:asciiTheme="minorEastAsia" w:hAnsiTheme="minorEastAsia" w:hint="eastAsia"/>
          <w:b/>
          <w:sz w:val="24"/>
          <w:szCs w:val="24"/>
        </w:rPr>
        <w:t>三、</w:t>
      </w:r>
      <w:r w:rsidR="00B50598" w:rsidRPr="00071444">
        <w:rPr>
          <w:rFonts w:asciiTheme="minorEastAsia" w:hAnsiTheme="minorEastAsia" w:hint="eastAsia"/>
          <w:b/>
          <w:sz w:val="24"/>
          <w:szCs w:val="24"/>
        </w:rPr>
        <w:t>报告内容</w:t>
      </w:r>
    </w:p>
    <w:p w:rsidR="00841084" w:rsidRDefault="00841084" w:rsidP="00236148">
      <w:pPr>
        <w:ind w:firstLineChars="200" w:firstLine="420"/>
      </w:pPr>
    </w:p>
    <w:p w:rsidR="00132ECE" w:rsidRPr="00071444" w:rsidRDefault="005147A5" w:rsidP="00071444">
      <w:pPr>
        <w:spacing w:line="360" w:lineRule="auto"/>
        <w:ind w:firstLineChars="200" w:firstLine="420"/>
        <w:rPr>
          <w:rFonts w:asciiTheme="minorEastAsia" w:hAnsiTheme="minorEastAsia"/>
        </w:rPr>
      </w:pPr>
      <w:r w:rsidRPr="00071444">
        <w:rPr>
          <w:rFonts w:asciiTheme="minorEastAsia" w:hAnsiTheme="minorEastAsia" w:hint="eastAsia"/>
        </w:rPr>
        <w:t>鉴于境外上市与A股上市的信息披露要求不同，部分数据的披露周期存在很大的差异性，因此本轮评选仅仅针对A股上市企业。截止2015年报告期末，A股上市企业共计2726家，存在</w:t>
      </w:r>
      <w:r w:rsidR="00993ECC" w:rsidRPr="00071444">
        <w:rPr>
          <w:rFonts w:asciiTheme="minorEastAsia" w:hAnsiTheme="minorEastAsia" w:hint="eastAsia"/>
        </w:rPr>
        <w:t>以下情形的企业，</w:t>
      </w:r>
      <w:r w:rsidR="00132ECE" w:rsidRPr="00071444">
        <w:rPr>
          <w:rFonts w:asciiTheme="minorEastAsia" w:hAnsiTheme="minorEastAsia" w:hint="eastAsia"/>
        </w:rPr>
        <w:t>未予以纳入</w:t>
      </w:r>
      <w:r w:rsidR="00993ECC" w:rsidRPr="00071444">
        <w:rPr>
          <w:rFonts w:asciiTheme="minorEastAsia" w:hAnsiTheme="minorEastAsia" w:hint="eastAsia"/>
        </w:rPr>
        <w:t>评选范畴</w:t>
      </w:r>
      <w:r w:rsidR="00132ECE" w:rsidRPr="00071444">
        <w:rPr>
          <w:rFonts w:asciiTheme="minorEastAsia" w:hAnsiTheme="minorEastAsia" w:hint="eastAsia"/>
        </w:rPr>
        <w:t>：</w:t>
      </w:r>
    </w:p>
    <w:p w:rsidR="00260867" w:rsidRPr="00071444" w:rsidRDefault="005147A5" w:rsidP="00071444">
      <w:pPr>
        <w:spacing w:line="360" w:lineRule="auto"/>
        <w:ind w:firstLineChars="200" w:firstLine="420"/>
        <w:rPr>
          <w:rFonts w:asciiTheme="minorEastAsia" w:hAnsiTheme="minorEastAsia"/>
        </w:rPr>
      </w:pPr>
      <w:r w:rsidRPr="00071444">
        <w:rPr>
          <w:rFonts w:asciiTheme="minorEastAsia" w:hAnsiTheme="minorEastAsia" w:hint="eastAsia"/>
        </w:rPr>
        <w:t>1</w:t>
      </w:r>
      <w:r w:rsidR="00132ECE" w:rsidRPr="00071444">
        <w:rPr>
          <w:rFonts w:asciiTheme="minorEastAsia" w:hAnsiTheme="minorEastAsia" w:hint="eastAsia"/>
        </w:rPr>
        <w:t>.</w:t>
      </w:r>
      <w:r w:rsidR="007F5000" w:rsidRPr="00071444">
        <w:rPr>
          <w:rFonts w:asciiTheme="minorEastAsia" w:hAnsiTheme="minorEastAsia" w:hint="eastAsia"/>
        </w:rPr>
        <w:t xml:space="preserve"> 由于金融行业的特性以及与其他行业的重大区别，该行业此次未纳入以上三项维度为方向的客观指标研究，但考虑到对投资者观察全市场的需求，我们通过业界专家推荐、网络问卷等主观指标来补充对金融行业上市公司的研究，其中安信信托获选入榜</w:t>
      </w:r>
      <w:r w:rsidR="00132ECE" w:rsidRPr="00071444">
        <w:rPr>
          <w:rFonts w:asciiTheme="minorEastAsia" w:hAnsiTheme="minorEastAsia" w:hint="eastAsia"/>
        </w:rPr>
        <w:t>；</w:t>
      </w:r>
    </w:p>
    <w:p w:rsidR="007640D9" w:rsidRPr="00071444" w:rsidRDefault="005147A5" w:rsidP="00071444">
      <w:pPr>
        <w:spacing w:line="360" w:lineRule="auto"/>
        <w:ind w:firstLineChars="200" w:firstLine="420"/>
        <w:rPr>
          <w:rFonts w:asciiTheme="minorEastAsia" w:hAnsiTheme="minorEastAsia"/>
        </w:rPr>
      </w:pPr>
      <w:r w:rsidRPr="00071444">
        <w:rPr>
          <w:rFonts w:asciiTheme="minorEastAsia" w:hAnsiTheme="minorEastAsia" w:hint="eastAsia"/>
        </w:rPr>
        <w:t>2</w:t>
      </w:r>
      <w:r w:rsidR="00132ECE" w:rsidRPr="00071444">
        <w:rPr>
          <w:rFonts w:asciiTheme="minorEastAsia" w:hAnsiTheme="minorEastAsia" w:hint="eastAsia"/>
        </w:rPr>
        <w:t>.</w:t>
      </w:r>
      <w:r w:rsidR="007640D9" w:rsidRPr="00071444">
        <w:rPr>
          <w:rFonts w:asciiTheme="minorEastAsia" w:hAnsiTheme="minorEastAsia" w:hint="eastAsia"/>
        </w:rPr>
        <w:t>本轮排名考察周期主板及中小板企业5年，创业板为3年，部分企业因上市时间太短，</w:t>
      </w:r>
      <w:r w:rsidR="00132ECE" w:rsidRPr="00071444">
        <w:rPr>
          <w:rFonts w:asciiTheme="minorEastAsia" w:hAnsiTheme="minorEastAsia" w:hint="eastAsia"/>
        </w:rPr>
        <w:t>考察周期</w:t>
      </w:r>
      <w:r w:rsidR="007640D9" w:rsidRPr="00071444">
        <w:rPr>
          <w:rFonts w:asciiTheme="minorEastAsia" w:hAnsiTheme="minorEastAsia" w:hint="eastAsia"/>
        </w:rPr>
        <w:t>不足而未予以评估</w:t>
      </w:r>
      <w:r w:rsidR="00132ECE" w:rsidRPr="00071444">
        <w:rPr>
          <w:rFonts w:asciiTheme="minorEastAsia" w:hAnsiTheme="minorEastAsia" w:hint="eastAsia"/>
        </w:rPr>
        <w:t>；</w:t>
      </w:r>
    </w:p>
    <w:p w:rsidR="00132ECE" w:rsidRPr="00071444" w:rsidRDefault="005147A5" w:rsidP="00071444">
      <w:pPr>
        <w:spacing w:line="360" w:lineRule="auto"/>
        <w:ind w:firstLineChars="200" w:firstLine="420"/>
        <w:rPr>
          <w:rFonts w:asciiTheme="minorEastAsia" w:hAnsiTheme="minorEastAsia"/>
        </w:rPr>
      </w:pPr>
      <w:r w:rsidRPr="00071444">
        <w:rPr>
          <w:rFonts w:asciiTheme="minorEastAsia" w:hAnsiTheme="minorEastAsia" w:hint="eastAsia"/>
        </w:rPr>
        <w:t>3</w:t>
      </w:r>
      <w:r w:rsidR="00132ECE" w:rsidRPr="00071444">
        <w:rPr>
          <w:rFonts w:asciiTheme="minorEastAsia" w:hAnsiTheme="minorEastAsia" w:hint="eastAsia"/>
        </w:rPr>
        <w:t>.过去三年中主营业务发生重大变更的，同样也涉及到考察周期不足的原因，未予以纳入评估；</w:t>
      </w:r>
    </w:p>
    <w:p w:rsidR="00132ECE" w:rsidRPr="00071444" w:rsidRDefault="005147A5" w:rsidP="00071444">
      <w:pPr>
        <w:spacing w:line="360" w:lineRule="auto"/>
        <w:ind w:firstLineChars="200" w:firstLine="420"/>
        <w:rPr>
          <w:rFonts w:asciiTheme="minorEastAsia" w:hAnsiTheme="minorEastAsia"/>
        </w:rPr>
      </w:pPr>
      <w:r w:rsidRPr="00071444">
        <w:rPr>
          <w:rFonts w:asciiTheme="minorEastAsia" w:hAnsiTheme="minorEastAsia" w:hint="eastAsia"/>
        </w:rPr>
        <w:t>4</w:t>
      </w:r>
      <w:r w:rsidR="00132ECE" w:rsidRPr="00071444">
        <w:rPr>
          <w:rFonts w:asciiTheme="minorEastAsia" w:hAnsiTheme="minorEastAsia" w:hint="eastAsia"/>
        </w:rPr>
        <w:t>.在</w:t>
      </w:r>
      <w:r w:rsidR="00132ECE" w:rsidRPr="00071444">
        <w:rPr>
          <w:rFonts w:asciiTheme="minorEastAsia" w:hAnsiTheme="minorEastAsia"/>
        </w:rPr>
        <w:t>过去三年</w:t>
      </w:r>
      <w:r w:rsidR="00D260B8" w:rsidRPr="00071444">
        <w:rPr>
          <w:rFonts w:asciiTheme="minorEastAsia" w:hAnsiTheme="minorEastAsia"/>
        </w:rPr>
        <w:t>经营历史</w:t>
      </w:r>
      <w:r w:rsidR="00132ECE" w:rsidRPr="00071444">
        <w:rPr>
          <w:rFonts w:asciiTheme="minorEastAsia" w:hAnsiTheme="minorEastAsia"/>
        </w:rPr>
        <w:t>中</w:t>
      </w:r>
      <w:r w:rsidR="00D260B8" w:rsidRPr="00071444">
        <w:rPr>
          <w:rFonts w:asciiTheme="minorEastAsia" w:hAnsiTheme="minorEastAsia" w:hint="eastAsia"/>
        </w:rPr>
        <w:t>，</w:t>
      </w:r>
      <w:r w:rsidR="00391037" w:rsidRPr="00071444">
        <w:rPr>
          <w:rFonts w:asciiTheme="minorEastAsia" w:hAnsiTheme="minorEastAsia" w:hint="eastAsia"/>
        </w:rPr>
        <w:t>曾</w:t>
      </w:r>
      <w:r w:rsidR="00132ECE" w:rsidRPr="00071444">
        <w:rPr>
          <w:rFonts w:asciiTheme="minorEastAsia" w:hAnsiTheme="minorEastAsia" w:hint="eastAsia"/>
        </w:rPr>
        <w:t>遭到</w:t>
      </w:r>
      <w:r w:rsidR="00E17DF6" w:rsidRPr="00071444">
        <w:rPr>
          <w:rFonts w:asciiTheme="minorEastAsia" w:hAnsiTheme="minorEastAsia"/>
        </w:rPr>
        <w:t>证监会处罚</w:t>
      </w:r>
      <w:r w:rsidR="00132ECE" w:rsidRPr="00071444">
        <w:rPr>
          <w:rFonts w:asciiTheme="minorEastAsia" w:hAnsiTheme="minorEastAsia"/>
        </w:rPr>
        <w:t>和谴责的</w:t>
      </w:r>
      <w:r w:rsidR="00E17DF6" w:rsidRPr="00071444">
        <w:rPr>
          <w:rFonts w:asciiTheme="minorEastAsia" w:hAnsiTheme="minorEastAsia"/>
        </w:rPr>
        <w:t>企业</w:t>
      </w:r>
      <w:r w:rsidR="00132ECE" w:rsidRPr="00071444">
        <w:rPr>
          <w:rFonts w:asciiTheme="minorEastAsia" w:hAnsiTheme="minorEastAsia" w:hint="eastAsia"/>
        </w:rPr>
        <w:t>；</w:t>
      </w:r>
    </w:p>
    <w:p w:rsidR="005147A5" w:rsidRPr="00071444" w:rsidRDefault="005147A5" w:rsidP="00071444">
      <w:pPr>
        <w:spacing w:line="360" w:lineRule="auto"/>
        <w:ind w:firstLineChars="200" w:firstLine="420"/>
        <w:rPr>
          <w:rFonts w:asciiTheme="minorEastAsia" w:hAnsiTheme="minorEastAsia"/>
        </w:rPr>
      </w:pPr>
      <w:r w:rsidRPr="00071444">
        <w:rPr>
          <w:rFonts w:asciiTheme="minorEastAsia" w:hAnsiTheme="minorEastAsia" w:hint="eastAsia"/>
        </w:rPr>
        <w:t>5</w:t>
      </w:r>
      <w:r w:rsidR="00132ECE" w:rsidRPr="00071444">
        <w:rPr>
          <w:rFonts w:asciiTheme="minorEastAsia" w:hAnsiTheme="minorEastAsia" w:hint="eastAsia"/>
        </w:rPr>
        <w:t>.</w:t>
      </w:r>
      <w:r w:rsidR="00E17DF6" w:rsidRPr="00071444">
        <w:rPr>
          <w:rFonts w:asciiTheme="minorEastAsia" w:hAnsiTheme="minorEastAsia"/>
        </w:rPr>
        <w:t>大股东在敏感时间区间买卖股票</w:t>
      </w:r>
      <w:r w:rsidR="00132ECE" w:rsidRPr="00071444">
        <w:rPr>
          <w:rFonts w:asciiTheme="minorEastAsia" w:hAnsiTheme="minorEastAsia"/>
        </w:rPr>
        <w:t>的企业</w:t>
      </w:r>
      <w:r w:rsidR="00132ECE" w:rsidRPr="00071444">
        <w:rPr>
          <w:rFonts w:asciiTheme="minorEastAsia" w:hAnsiTheme="minorEastAsia" w:hint="eastAsia"/>
        </w:rPr>
        <w:t>；</w:t>
      </w:r>
    </w:p>
    <w:p w:rsidR="00132ECE" w:rsidRPr="00071444" w:rsidRDefault="005147A5" w:rsidP="00071444">
      <w:pPr>
        <w:spacing w:line="360" w:lineRule="auto"/>
        <w:ind w:firstLineChars="200" w:firstLine="420"/>
        <w:rPr>
          <w:rFonts w:asciiTheme="minorEastAsia" w:hAnsiTheme="minorEastAsia"/>
        </w:rPr>
      </w:pPr>
      <w:r w:rsidRPr="00071444">
        <w:rPr>
          <w:rFonts w:asciiTheme="minorEastAsia" w:hAnsiTheme="minorEastAsia" w:hint="eastAsia"/>
        </w:rPr>
        <w:t>6</w:t>
      </w:r>
      <w:r w:rsidR="00132ECE" w:rsidRPr="00071444">
        <w:rPr>
          <w:rFonts w:asciiTheme="minorEastAsia" w:hAnsiTheme="minorEastAsia" w:hint="eastAsia"/>
        </w:rPr>
        <w:t>.</w:t>
      </w:r>
      <w:r w:rsidR="00E17DF6" w:rsidRPr="00071444">
        <w:rPr>
          <w:rFonts w:asciiTheme="minorEastAsia" w:hAnsiTheme="minorEastAsia"/>
        </w:rPr>
        <w:t>在各自</w:t>
      </w:r>
      <w:r w:rsidR="00D260B8" w:rsidRPr="00071444">
        <w:rPr>
          <w:rFonts w:asciiTheme="minorEastAsia" w:hAnsiTheme="minorEastAsia"/>
        </w:rPr>
        <w:t>行业领域遭受过</w:t>
      </w:r>
      <w:r w:rsidR="00132ECE" w:rsidRPr="00071444">
        <w:rPr>
          <w:rFonts w:asciiTheme="minorEastAsia" w:hAnsiTheme="minorEastAsia"/>
        </w:rPr>
        <w:t>有关部门</w:t>
      </w:r>
      <w:r w:rsidR="00D260B8" w:rsidRPr="00071444">
        <w:rPr>
          <w:rFonts w:asciiTheme="minorEastAsia" w:hAnsiTheme="minorEastAsia"/>
        </w:rPr>
        <w:t>行政处罚的企业</w:t>
      </w:r>
      <w:r w:rsidR="00132ECE" w:rsidRPr="00071444">
        <w:rPr>
          <w:rFonts w:asciiTheme="minorEastAsia" w:hAnsiTheme="minorEastAsia" w:hint="eastAsia"/>
        </w:rPr>
        <w:t>；</w:t>
      </w:r>
    </w:p>
    <w:p w:rsidR="00201CFB" w:rsidRPr="00071444" w:rsidRDefault="005147A5" w:rsidP="00071444">
      <w:pPr>
        <w:spacing w:line="360" w:lineRule="auto"/>
        <w:ind w:firstLineChars="200" w:firstLine="420"/>
        <w:rPr>
          <w:rFonts w:asciiTheme="minorEastAsia" w:hAnsiTheme="minorEastAsia"/>
        </w:rPr>
      </w:pPr>
      <w:r w:rsidRPr="00071444">
        <w:rPr>
          <w:rFonts w:asciiTheme="minorEastAsia" w:hAnsiTheme="minorEastAsia" w:hint="eastAsia"/>
        </w:rPr>
        <w:t>7</w:t>
      </w:r>
      <w:r w:rsidR="00132ECE" w:rsidRPr="00071444">
        <w:rPr>
          <w:rFonts w:asciiTheme="minorEastAsia" w:hAnsiTheme="minorEastAsia" w:hint="eastAsia"/>
        </w:rPr>
        <w:t>.为股东</w:t>
      </w:r>
      <w:r w:rsidR="00391037" w:rsidRPr="00071444">
        <w:rPr>
          <w:rFonts w:asciiTheme="minorEastAsia" w:hAnsiTheme="minorEastAsia" w:hint="eastAsia"/>
        </w:rPr>
        <w:t>创造的价值、公司治理和信息披露</w:t>
      </w:r>
      <w:r w:rsidR="007640D9" w:rsidRPr="00071444">
        <w:rPr>
          <w:rFonts w:asciiTheme="minorEastAsia" w:hAnsiTheme="minorEastAsia"/>
        </w:rPr>
        <w:t>三个维度中单项得分低于</w:t>
      </w:r>
      <w:r w:rsidR="007640D9" w:rsidRPr="00071444">
        <w:rPr>
          <w:rFonts w:asciiTheme="minorEastAsia" w:hAnsiTheme="minorEastAsia" w:hint="eastAsia"/>
        </w:rPr>
        <w:t>5的企业</w:t>
      </w:r>
      <w:r w:rsidR="00201CFB" w:rsidRPr="00071444">
        <w:rPr>
          <w:rFonts w:asciiTheme="minorEastAsia" w:hAnsiTheme="minorEastAsia" w:hint="eastAsia"/>
        </w:rPr>
        <w:t>；</w:t>
      </w:r>
    </w:p>
    <w:p w:rsidR="00132ECE" w:rsidRPr="00071444" w:rsidRDefault="00201CFB" w:rsidP="00071444">
      <w:pPr>
        <w:spacing w:line="360" w:lineRule="auto"/>
        <w:ind w:firstLineChars="200" w:firstLine="420"/>
        <w:rPr>
          <w:rFonts w:asciiTheme="minorEastAsia" w:hAnsiTheme="minorEastAsia"/>
        </w:rPr>
      </w:pPr>
      <w:r w:rsidRPr="00071444">
        <w:rPr>
          <w:rFonts w:asciiTheme="minorEastAsia" w:hAnsiTheme="minorEastAsia" w:hint="eastAsia"/>
        </w:rPr>
        <w:t>8.未完成股改的企业。整个A股市场仍有极少数企业未完成股改，未来存在一定的不确定性</w:t>
      </w:r>
    </w:p>
    <w:p w:rsidR="00BF4B1E" w:rsidRPr="00071444" w:rsidRDefault="00391037" w:rsidP="00071444">
      <w:pPr>
        <w:spacing w:line="360" w:lineRule="auto"/>
        <w:ind w:firstLineChars="200" w:firstLine="420"/>
        <w:rPr>
          <w:rFonts w:asciiTheme="minorEastAsia" w:hAnsiTheme="minorEastAsia"/>
        </w:rPr>
      </w:pPr>
      <w:r w:rsidRPr="00071444">
        <w:rPr>
          <w:rFonts w:asciiTheme="minorEastAsia" w:hAnsiTheme="minorEastAsia"/>
        </w:rPr>
        <w:t>排除以上情形</w:t>
      </w:r>
      <w:r w:rsidRPr="00071444">
        <w:rPr>
          <w:rFonts w:asciiTheme="minorEastAsia" w:hAnsiTheme="minorEastAsia" w:hint="eastAsia"/>
        </w:rPr>
        <w:t>，</w:t>
      </w:r>
      <w:r w:rsidRPr="00071444">
        <w:rPr>
          <w:rFonts w:asciiTheme="minorEastAsia" w:hAnsiTheme="minorEastAsia"/>
        </w:rPr>
        <w:t>根据</w:t>
      </w:r>
      <w:r w:rsidR="00E9395B" w:rsidRPr="00071444">
        <w:rPr>
          <w:rFonts w:asciiTheme="minorEastAsia" w:hAnsiTheme="minorEastAsia" w:hint="eastAsia"/>
        </w:rPr>
        <w:t>A股</w:t>
      </w:r>
      <w:r w:rsidR="007F5000" w:rsidRPr="00071444">
        <w:rPr>
          <w:rFonts w:asciiTheme="minorEastAsia" w:hAnsiTheme="minorEastAsia"/>
        </w:rPr>
        <w:t>价值创造</w:t>
      </w:r>
      <w:r w:rsidRPr="00071444">
        <w:rPr>
          <w:rFonts w:asciiTheme="minorEastAsia" w:hAnsiTheme="minorEastAsia"/>
        </w:rPr>
        <w:t>指数的计算方式</w:t>
      </w:r>
      <w:r w:rsidRPr="00071444">
        <w:rPr>
          <w:rFonts w:asciiTheme="minorEastAsia" w:hAnsiTheme="minorEastAsia" w:hint="eastAsia"/>
        </w:rPr>
        <w:t>，</w:t>
      </w:r>
      <w:r w:rsidRPr="00071444">
        <w:rPr>
          <w:rFonts w:asciiTheme="minorEastAsia" w:hAnsiTheme="minorEastAsia"/>
        </w:rPr>
        <w:t>将</w:t>
      </w:r>
      <w:r w:rsidR="008B0FC2" w:rsidRPr="00071444">
        <w:rPr>
          <w:rFonts w:asciiTheme="minorEastAsia" w:hAnsiTheme="minorEastAsia"/>
        </w:rPr>
        <w:t>综合排名靠前的</w:t>
      </w:r>
      <w:r w:rsidR="008B0FC2" w:rsidRPr="00071444">
        <w:rPr>
          <w:rFonts w:asciiTheme="minorEastAsia" w:hAnsiTheme="minorEastAsia" w:hint="eastAsia"/>
        </w:rPr>
        <w:t>50家</w:t>
      </w:r>
      <w:r w:rsidRPr="00071444">
        <w:rPr>
          <w:rFonts w:asciiTheme="minorEastAsia" w:hAnsiTheme="minorEastAsia" w:hint="eastAsia"/>
        </w:rPr>
        <w:t>上榜</w:t>
      </w:r>
      <w:r w:rsidR="008B0FC2" w:rsidRPr="00071444">
        <w:rPr>
          <w:rFonts w:asciiTheme="minorEastAsia" w:hAnsiTheme="minorEastAsia" w:hint="eastAsia"/>
        </w:rPr>
        <w:t>企业名单公布</w:t>
      </w:r>
      <w:r w:rsidRPr="00071444">
        <w:rPr>
          <w:rFonts w:asciiTheme="minorEastAsia" w:hAnsiTheme="minorEastAsia" w:hint="eastAsia"/>
        </w:rPr>
        <w:t>，上榜企业如下所示</w:t>
      </w:r>
      <w:r w:rsidR="00531B4F" w:rsidRPr="00071444">
        <w:rPr>
          <w:rFonts w:asciiTheme="minorEastAsia" w:hAnsiTheme="minorEastAsia" w:hint="eastAsia"/>
        </w:rPr>
        <w:t>（排名不分先后，仅按行业归类）</w:t>
      </w:r>
      <w:r w:rsidRPr="00071444">
        <w:rPr>
          <w:rFonts w:asciiTheme="minorEastAsia" w:hAnsiTheme="minorEastAsia" w:hint="eastAsia"/>
        </w:rPr>
        <w:t>：</w:t>
      </w:r>
    </w:p>
    <w:p w:rsidR="002576E0" w:rsidRDefault="00601ABC" w:rsidP="00071444">
      <w:pPr>
        <w:tabs>
          <w:tab w:val="left" w:pos="-142"/>
        </w:tabs>
        <w:ind w:leftChars="-339" w:left="-571" w:hangingChars="67" w:hanging="141"/>
        <w:jc w:val="center"/>
      </w:pPr>
      <w:r>
        <w:rPr>
          <w:noProof/>
        </w:rPr>
        <w:lastRenderedPageBreak/>
        <w:drawing>
          <wp:inline distT="0" distB="0" distL="0" distR="0">
            <wp:extent cx="5951878" cy="726186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5002" cy="7253470"/>
                    </a:xfrm>
                    <a:prstGeom prst="rect">
                      <a:avLst/>
                    </a:prstGeom>
                    <a:noFill/>
                    <a:ln w="9525">
                      <a:noFill/>
                      <a:miter lim="800000"/>
                      <a:headEnd/>
                      <a:tailEnd/>
                    </a:ln>
                  </pic:spPr>
                </pic:pic>
              </a:graphicData>
            </a:graphic>
          </wp:inline>
        </w:drawing>
      </w:r>
    </w:p>
    <w:p w:rsidR="00841084" w:rsidRDefault="00841084" w:rsidP="00236148">
      <w:pPr>
        <w:ind w:firstLineChars="200" w:firstLine="420"/>
      </w:pPr>
    </w:p>
    <w:p w:rsidR="00841084" w:rsidRPr="00071444" w:rsidRDefault="00841084" w:rsidP="00236148">
      <w:pPr>
        <w:rPr>
          <w:rFonts w:asciiTheme="minorEastAsia" w:hAnsiTheme="minorEastAsia"/>
          <w:b/>
          <w:sz w:val="24"/>
          <w:szCs w:val="24"/>
        </w:rPr>
      </w:pPr>
      <w:r w:rsidRPr="00071444">
        <w:rPr>
          <w:rFonts w:asciiTheme="minorEastAsia" w:hAnsiTheme="minorEastAsia" w:hint="eastAsia"/>
          <w:b/>
          <w:sz w:val="24"/>
          <w:szCs w:val="24"/>
        </w:rPr>
        <w:t>四、小结</w:t>
      </w:r>
    </w:p>
    <w:p w:rsidR="00841084" w:rsidRDefault="00841084" w:rsidP="00236148">
      <w:pPr>
        <w:tabs>
          <w:tab w:val="left" w:pos="732"/>
        </w:tabs>
        <w:ind w:firstLineChars="200" w:firstLine="420"/>
      </w:pPr>
    </w:p>
    <w:p w:rsidR="001B6121" w:rsidRPr="00071444" w:rsidRDefault="00BF4B1E" w:rsidP="00071444">
      <w:pPr>
        <w:spacing w:line="360" w:lineRule="auto"/>
        <w:ind w:firstLineChars="200" w:firstLine="420"/>
        <w:rPr>
          <w:rFonts w:asciiTheme="minorEastAsia" w:hAnsiTheme="minorEastAsia"/>
        </w:rPr>
      </w:pPr>
      <w:r w:rsidRPr="00071444">
        <w:rPr>
          <w:rFonts w:asciiTheme="minorEastAsia" w:hAnsiTheme="minorEastAsia"/>
        </w:rPr>
        <w:t>根据</w:t>
      </w:r>
      <w:r w:rsidR="001B6121" w:rsidRPr="00071444">
        <w:rPr>
          <w:rFonts w:asciiTheme="minorEastAsia" w:hAnsiTheme="minorEastAsia"/>
        </w:rPr>
        <w:t>数库云标准</w:t>
      </w:r>
      <w:r w:rsidR="001B6121" w:rsidRPr="00071444">
        <w:rPr>
          <w:rFonts w:asciiTheme="minorEastAsia" w:hAnsiTheme="minorEastAsia" w:hint="eastAsia"/>
        </w:rPr>
        <w:t>，2726家上市公司（截止2015年期末）</w:t>
      </w:r>
      <w:r w:rsidR="001B6121" w:rsidRPr="00071444">
        <w:rPr>
          <w:rFonts w:asciiTheme="minorEastAsia" w:hAnsiTheme="minorEastAsia"/>
        </w:rPr>
        <w:t>共有</w:t>
      </w:r>
      <w:r w:rsidR="001B6121" w:rsidRPr="00071444">
        <w:rPr>
          <w:rFonts w:asciiTheme="minorEastAsia" w:hAnsiTheme="minorEastAsia" w:hint="eastAsia"/>
        </w:rPr>
        <w:t>12个行业大类的划分，分别为工业、信息技术、原材料、日常消费品、非日常生活消费品、房地产、商贸、金融、医疗保健、公用事业、能源和电信业务。</w:t>
      </w:r>
    </w:p>
    <w:p w:rsidR="00FB30BF" w:rsidRPr="00071444" w:rsidRDefault="007F5000" w:rsidP="00071444">
      <w:pPr>
        <w:spacing w:line="360" w:lineRule="auto"/>
        <w:ind w:firstLineChars="200" w:firstLine="420"/>
        <w:rPr>
          <w:rFonts w:asciiTheme="minorEastAsia" w:hAnsiTheme="minorEastAsia"/>
        </w:rPr>
      </w:pPr>
      <w:r w:rsidRPr="00071444">
        <w:rPr>
          <w:rFonts w:asciiTheme="minorEastAsia" w:hAnsiTheme="minorEastAsia"/>
        </w:rPr>
        <w:lastRenderedPageBreak/>
        <w:t>以价值创造</w:t>
      </w:r>
      <w:r w:rsidR="00400AB5" w:rsidRPr="00071444">
        <w:rPr>
          <w:rFonts w:asciiTheme="minorEastAsia" w:hAnsiTheme="minorEastAsia"/>
        </w:rPr>
        <w:t>指数的</w:t>
      </w:r>
      <w:r w:rsidR="00601ABC" w:rsidRPr="00071444">
        <w:rPr>
          <w:rFonts w:asciiTheme="minorEastAsia" w:hAnsiTheme="minorEastAsia"/>
        </w:rPr>
        <w:t>最终</w:t>
      </w:r>
      <w:r w:rsidR="00601ABC" w:rsidRPr="00071444">
        <w:rPr>
          <w:rFonts w:asciiTheme="minorEastAsia" w:hAnsiTheme="minorEastAsia" w:hint="eastAsia"/>
        </w:rPr>
        <w:t>数据</w:t>
      </w:r>
      <w:r w:rsidR="00400AB5" w:rsidRPr="00071444">
        <w:rPr>
          <w:rFonts w:asciiTheme="minorEastAsia" w:hAnsiTheme="minorEastAsia"/>
        </w:rPr>
        <w:t>进行排名</w:t>
      </w:r>
      <w:r w:rsidR="00400AB5" w:rsidRPr="00071444">
        <w:rPr>
          <w:rFonts w:asciiTheme="minorEastAsia" w:hAnsiTheme="minorEastAsia" w:hint="eastAsia"/>
        </w:rPr>
        <w:t>，</w:t>
      </w:r>
      <w:r w:rsidR="007228CF" w:rsidRPr="00071444">
        <w:rPr>
          <w:rFonts w:asciiTheme="minorEastAsia" w:hAnsiTheme="minorEastAsia" w:hint="eastAsia"/>
        </w:rPr>
        <w:t>在</w:t>
      </w:r>
      <w:r w:rsidR="008B0FC2" w:rsidRPr="00071444">
        <w:rPr>
          <w:rFonts w:asciiTheme="minorEastAsia" w:hAnsiTheme="minorEastAsia" w:hint="eastAsia"/>
        </w:rPr>
        <w:t>公布名单</w:t>
      </w:r>
      <w:r w:rsidR="007228CF" w:rsidRPr="00071444">
        <w:rPr>
          <w:rFonts w:asciiTheme="minorEastAsia" w:hAnsiTheme="minorEastAsia" w:hint="eastAsia"/>
        </w:rPr>
        <w:t>中，</w:t>
      </w:r>
      <w:r w:rsidR="002E5159" w:rsidRPr="00071444">
        <w:rPr>
          <w:rFonts w:asciiTheme="minorEastAsia" w:hAnsiTheme="minorEastAsia" w:hint="eastAsia"/>
        </w:rPr>
        <w:t>工业类</w:t>
      </w:r>
      <w:r w:rsidR="00A215C8" w:rsidRPr="00071444">
        <w:rPr>
          <w:rFonts w:asciiTheme="minorEastAsia" w:hAnsiTheme="minorEastAsia" w:hint="eastAsia"/>
        </w:rPr>
        <w:t>18</w:t>
      </w:r>
      <w:r w:rsidR="002E5159" w:rsidRPr="00071444">
        <w:rPr>
          <w:rFonts w:asciiTheme="minorEastAsia" w:hAnsiTheme="minorEastAsia" w:hint="eastAsia"/>
        </w:rPr>
        <w:t>家</w:t>
      </w:r>
      <w:r w:rsidR="00323BAE" w:rsidRPr="00071444">
        <w:rPr>
          <w:rFonts w:asciiTheme="minorEastAsia" w:hAnsiTheme="minorEastAsia" w:hint="eastAsia"/>
        </w:rPr>
        <w:t>，非日常消费品类占</w:t>
      </w:r>
      <w:r w:rsidR="00010D6B" w:rsidRPr="00071444">
        <w:rPr>
          <w:rFonts w:asciiTheme="minorEastAsia" w:hAnsiTheme="minorEastAsia" w:hint="eastAsia"/>
        </w:rPr>
        <w:t>9</w:t>
      </w:r>
      <w:r w:rsidR="00323BAE" w:rsidRPr="00071444">
        <w:rPr>
          <w:rFonts w:asciiTheme="minorEastAsia" w:hAnsiTheme="minorEastAsia" w:hint="eastAsia"/>
        </w:rPr>
        <w:t>家，</w:t>
      </w:r>
      <w:r w:rsidR="002E5159" w:rsidRPr="00071444">
        <w:rPr>
          <w:rFonts w:asciiTheme="minorEastAsia" w:hAnsiTheme="minorEastAsia" w:hint="eastAsia"/>
        </w:rPr>
        <w:t>信息技术类</w:t>
      </w:r>
      <w:r w:rsidR="00A215C8" w:rsidRPr="00071444">
        <w:rPr>
          <w:rFonts w:asciiTheme="minorEastAsia" w:hAnsiTheme="minorEastAsia" w:hint="eastAsia"/>
        </w:rPr>
        <w:t>6</w:t>
      </w:r>
      <w:r w:rsidR="002E5159" w:rsidRPr="00071444">
        <w:rPr>
          <w:rFonts w:asciiTheme="minorEastAsia" w:hAnsiTheme="minorEastAsia" w:hint="eastAsia"/>
        </w:rPr>
        <w:t>家</w:t>
      </w:r>
      <w:r w:rsidR="00A215C8" w:rsidRPr="00071444">
        <w:rPr>
          <w:rFonts w:asciiTheme="minorEastAsia" w:hAnsiTheme="minorEastAsia" w:hint="eastAsia"/>
        </w:rPr>
        <w:t>，</w:t>
      </w:r>
      <w:r w:rsidR="00323BAE" w:rsidRPr="00071444">
        <w:rPr>
          <w:rFonts w:asciiTheme="minorEastAsia" w:hAnsiTheme="minorEastAsia" w:hint="eastAsia"/>
        </w:rPr>
        <w:t>原材料类5家，</w:t>
      </w:r>
      <w:r w:rsidR="002E5159" w:rsidRPr="00071444">
        <w:rPr>
          <w:rFonts w:asciiTheme="minorEastAsia" w:hAnsiTheme="minorEastAsia" w:hint="eastAsia"/>
        </w:rPr>
        <w:t>医疗保健类</w:t>
      </w:r>
      <w:r w:rsidR="00A215C8" w:rsidRPr="00071444">
        <w:rPr>
          <w:rFonts w:asciiTheme="minorEastAsia" w:hAnsiTheme="minorEastAsia" w:hint="eastAsia"/>
        </w:rPr>
        <w:t>3</w:t>
      </w:r>
      <w:r w:rsidR="002E5159" w:rsidRPr="00071444">
        <w:rPr>
          <w:rFonts w:asciiTheme="minorEastAsia" w:hAnsiTheme="minorEastAsia" w:hint="eastAsia"/>
        </w:rPr>
        <w:t>家</w:t>
      </w:r>
      <w:r w:rsidR="00323BAE" w:rsidRPr="00071444">
        <w:rPr>
          <w:rFonts w:asciiTheme="minorEastAsia" w:hAnsiTheme="minorEastAsia" w:hint="eastAsia"/>
        </w:rPr>
        <w:t>，日常消费品3家，</w:t>
      </w:r>
      <w:r w:rsidR="002E5159" w:rsidRPr="00071444">
        <w:rPr>
          <w:rFonts w:asciiTheme="minorEastAsia" w:hAnsiTheme="minorEastAsia" w:hint="eastAsia"/>
        </w:rPr>
        <w:t>商贸类</w:t>
      </w:r>
      <w:r w:rsidR="00A215C8" w:rsidRPr="00071444">
        <w:rPr>
          <w:rFonts w:asciiTheme="minorEastAsia" w:hAnsiTheme="minorEastAsia" w:hint="eastAsia"/>
        </w:rPr>
        <w:t>2</w:t>
      </w:r>
      <w:r w:rsidR="002E5159" w:rsidRPr="00071444">
        <w:rPr>
          <w:rFonts w:asciiTheme="minorEastAsia" w:hAnsiTheme="minorEastAsia" w:hint="eastAsia"/>
        </w:rPr>
        <w:t>家</w:t>
      </w:r>
      <w:r w:rsidR="00323BAE" w:rsidRPr="00071444">
        <w:rPr>
          <w:rFonts w:asciiTheme="minorEastAsia" w:hAnsiTheme="minorEastAsia" w:hint="eastAsia"/>
        </w:rPr>
        <w:t>，</w:t>
      </w:r>
      <w:r w:rsidR="00A215C8" w:rsidRPr="00071444">
        <w:rPr>
          <w:rFonts w:asciiTheme="minorEastAsia" w:hAnsiTheme="minorEastAsia" w:hint="eastAsia"/>
        </w:rPr>
        <w:t>能源类1家，</w:t>
      </w:r>
      <w:r w:rsidR="002E5159" w:rsidRPr="00071444">
        <w:rPr>
          <w:rFonts w:asciiTheme="minorEastAsia" w:hAnsiTheme="minorEastAsia" w:hint="eastAsia"/>
        </w:rPr>
        <w:t>房地产类</w:t>
      </w:r>
      <w:r w:rsidR="00A215C8" w:rsidRPr="00071444">
        <w:rPr>
          <w:rFonts w:asciiTheme="minorEastAsia" w:hAnsiTheme="minorEastAsia" w:hint="eastAsia"/>
        </w:rPr>
        <w:t>1</w:t>
      </w:r>
      <w:r w:rsidR="002E5159" w:rsidRPr="00071444">
        <w:rPr>
          <w:rFonts w:asciiTheme="minorEastAsia" w:hAnsiTheme="minorEastAsia" w:hint="eastAsia"/>
        </w:rPr>
        <w:t>家</w:t>
      </w:r>
      <w:r w:rsidR="00A215C8" w:rsidRPr="00071444">
        <w:rPr>
          <w:rFonts w:asciiTheme="minorEastAsia" w:hAnsiTheme="minorEastAsia" w:hint="eastAsia"/>
        </w:rPr>
        <w:t>，公用事业1家</w:t>
      </w:r>
      <w:r w:rsidR="00010D6B" w:rsidRPr="00071444">
        <w:rPr>
          <w:rFonts w:asciiTheme="minorEastAsia" w:hAnsiTheme="minorEastAsia" w:hint="eastAsia"/>
        </w:rPr>
        <w:t>，金融类1家</w:t>
      </w:r>
      <w:r w:rsidR="00D57408" w:rsidRPr="00071444">
        <w:rPr>
          <w:rFonts w:asciiTheme="minorEastAsia" w:hAnsiTheme="minorEastAsia" w:hint="eastAsia"/>
        </w:rPr>
        <w:t>。</w:t>
      </w:r>
    </w:p>
    <w:p w:rsidR="00780F2B" w:rsidRPr="00071444" w:rsidRDefault="00111043" w:rsidP="00071444">
      <w:pPr>
        <w:spacing w:line="360" w:lineRule="auto"/>
        <w:ind w:firstLineChars="200" w:firstLine="420"/>
        <w:rPr>
          <w:rFonts w:asciiTheme="minorEastAsia" w:hAnsiTheme="minorEastAsia"/>
        </w:rPr>
      </w:pPr>
      <w:r w:rsidRPr="00071444">
        <w:rPr>
          <w:rFonts w:asciiTheme="minorEastAsia" w:hAnsiTheme="minorEastAsia" w:hint="eastAsia"/>
        </w:rPr>
        <w:t>其中，</w:t>
      </w:r>
      <w:r w:rsidR="00806970" w:rsidRPr="00071444">
        <w:rPr>
          <w:rFonts w:asciiTheme="minorEastAsia" w:hAnsiTheme="minorEastAsia" w:hint="eastAsia"/>
        </w:rPr>
        <w:t>主板上市企业30家，</w:t>
      </w:r>
      <w:r w:rsidR="00010D6B" w:rsidRPr="00071444">
        <w:rPr>
          <w:rFonts w:asciiTheme="minorEastAsia" w:hAnsiTheme="minorEastAsia" w:hint="eastAsia"/>
        </w:rPr>
        <w:t>上证主板</w:t>
      </w:r>
      <w:r w:rsidR="00806970" w:rsidRPr="00071444">
        <w:rPr>
          <w:rFonts w:asciiTheme="minorEastAsia" w:hAnsiTheme="minorEastAsia" w:hint="eastAsia"/>
        </w:rPr>
        <w:t>和深圳主板上市分别为</w:t>
      </w:r>
      <w:r w:rsidR="00010D6B" w:rsidRPr="00071444">
        <w:rPr>
          <w:rFonts w:asciiTheme="minorEastAsia" w:hAnsiTheme="minorEastAsia" w:hint="eastAsia"/>
        </w:rPr>
        <w:t>21家</w:t>
      </w:r>
      <w:r w:rsidR="00806970" w:rsidRPr="00071444">
        <w:rPr>
          <w:rFonts w:asciiTheme="minorEastAsia" w:hAnsiTheme="minorEastAsia" w:hint="eastAsia"/>
        </w:rPr>
        <w:t>和</w:t>
      </w:r>
      <w:r w:rsidR="00010D6B" w:rsidRPr="00071444">
        <w:rPr>
          <w:rFonts w:asciiTheme="minorEastAsia" w:hAnsiTheme="minorEastAsia" w:hint="eastAsia"/>
        </w:rPr>
        <w:t>9家，中小板18家，创业板上榜企业2家。</w:t>
      </w:r>
    </w:p>
    <w:p w:rsidR="00806970" w:rsidRPr="00071444" w:rsidRDefault="006322CA" w:rsidP="00071444">
      <w:pPr>
        <w:spacing w:line="360" w:lineRule="auto"/>
        <w:ind w:firstLineChars="200" w:firstLine="420"/>
        <w:rPr>
          <w:rFonts w:asciiTheme="minorEastAsia" w:hAnsiTheme="minorEastAsia"/>
        </w:rPr>
      </w:pPr>
      <w:r w:rsidRPr="00071444">
        <w:rPr>
          <w:rFonts w:asciiTheme="minorEastAsia" w:hAnsiTheme="minorEastAsia" w:hint="eastAsia"/>
        </w:rPr>
        <w:t>其中</w:t>
      </w:r>
      <w:r w:rsidR="007F5000" w:rsidRPr="00071444">
        <w:rPr>
          <w:rFonts w:asciiTheme="minorEastAsia" w:hAnsiTheme="minorEastAsia" w:hint="eastAsia"/>
        </w:rPr>
        <w:t>上榜50强企业中，21家民营企业，4家外资企业，除此以外均为地属国资控股、省属国资控股或央企国资控股。</w:t>
      </w:r>
      <w:r w:rsidRPr="00071444">
        <w:rPr>
          <w:rFonts w:asciiTheme="minorEastAsia" w:hAnsiTheme="minorEastAsia" w:hint="eastAsia"/>
        </w:rPr>
        <w:t>上市时间</w:t>
      </w:r>
      <w:r w:rsidR="00806970" w:rsidRPr="00071444">
        <w:rPr>
          <w:rFonts w:asciiTheme="minorEastAsia" w:hAnsiTheme="minorEastAsia" w:hint="eastAsia"/>
        </w:rPr>
        <w:t>在5年以内</w:t>
      </w:r>
      <w:r w:rsidR="002B6CC3" w:rsidRPr="00071444">
        <w:rPr>
          <w:rFonts w:asciiTheme="minorEastAsia" w:hAnsiTheme="minorEastAsia" w:hint="eastAsia"/>
        </w:rPr>
        <w:t>（不包括5年）</w:t>
      </w:r>
      <w:r w:rsidR="00806970" w:rsidRPr="00071444">
        <w:rPr>
          <w:rFonts w:asciiTheme="minorEastAsia" w:hAnsiTheme="minorEastAsia" w:hint="eastAsia"/>
        </w:rPr>
        <w:t>的</w:t>
      </w:r>
      <w:r w:rsidR="009E4065" w:rsidRPr="00071444">
        <w:rPr>
          <w:rFonts w:asciiTheme="minorEastAsia" w:hAnsiTheme="minorEastAsia" w:hint="eastAsia"/>
        </w:rPr>
        <w:t>4</w:t>
      </w:r>
      <w:r w:rsidR="002B6CC3" w:rsidRPr="00071444">
        <w:rPr>
          <w:rFonts w:asciiTheme="minorEastAsia" w:hAnsiTheme="minorEastAsia" w:hint="eastAsia"/>
        </w:rPr>
        <w:t>家，5-10年（不包括10年）的</w:t>
      </w:r>
      <w:r w:rsidR="009E4065" w:rsidRPr="00071444">
        <w:rPr>
          <w:rFonts w:asciiTheme="minorEastAsia" w:hAnsiTheme="minorEastAsia" w:hint="eastAsia"/>
        </w:rPr>
        <w:t>18家</w:t>
      </w:r>
      <w:r w:rsidR="002B6CC3" w:rsidRPr="00071444">
        <w:rPr>
          <w:rFonts w:asciiTheme="minorEastAsia" w:hAnsiTheme="minorEastAsia" w:hint="eastAsia"/>
        </w:rPr>
        <w:t>，10-15年（不包括15年）的</w:t>
      </w:r>
      <w:r w:rsidR="009E4065" w:rsidRPr="00071444">
        <w:rPr>
          <w:rFonts w:asciiTheme="minorEastAsia" w:hAnsiTheme="minorEastAsia" w:hint="eastAsia"/>
        </w:rPr>
        <w:t>9家</w:t>
      </w:r>
      <w:r w:rsidR="002B6CC3" w:rsidRPr="00071444">
        <w:rPr>
          <w:rFonts w:asciiTheme="minorEastAsia" w:hAnsiTheme="minorEastAsia" w:hint="eastAsia"/>
        </w:rPr>
        <w:t>，15-20年（不包括20年）的</w:t>
      </w:r>
      <w:r w:rsidR="009E4065" w:rsidRPr="00071444">
        <w:rPr>
          <w:rFonts w:asciiTheme="minorEastAsia" w:hAnsiTheme="minorEastAsia" w:hint="eastAsia"/>
        </w:rPr>
        <w:t>9家</w:t>
      </w:r>
      <w:r w:rsidR="002B6CC3" w:rsidRPr="00071444">
        <w:rPr>
          <w:rFonts w:asciiTheme="minorEastAsia" w:hAnsiTheme="minorEastAsia" w:hint="eastAsia"/>
        </w:rPr>
        <w:t>，20年以上的10家。</w:t>
      </w:r>
    </w:p>
    <w:p w:rsidR="00066C59" w:rsidRPr="00071444" w:rsidRDefault="000A376B" w:rsidP="00071444">
      <w:pPr>
        <w:spacing w:line="360" w:lineRule="auto"/>
        <w:ind w:firstLineChars="200" w:firstLine="420"/>
        <w:rPr>
          <w:rFonts w:asciiTheme="minorEastAsia" w:hAnsiTheme="minorEastAsia"/>
        </w:rPr>
      </w:pPr>
      <w:r w:rsidRPr="00071444">
        <w:rPr>
          <w:rFonts w:asciiTheme="minorEastAsia" w:hAnsiTheme="minorEastAsia"/>
        </w:rPr>
        <w:t>需要强调的是</w:t>
      </w:r>
      <w:r w:rsidRPr="00071444">
        <w:rPr>
          <w:rFonts w:asciiTheme="minorEastAsia" w:hAnsiTheme="minorEastAsia" w:hint="eastAsia"/>
        </w:rPr>
        <w:t>，</w:t>
      </w:r>
      <w:r w:rsidRPr="00071444">
        <w:rPr>
          <w:rFonts w:asciiTheme="minorEastAsia" w:hAnsiTheme="minorEastAsia"/>
        </w:rPr>
        <w:t>本轮评选自始至终没有参考二级市场的股价异动</w:t>
      </w:r>
      <w:r w:rsidRPr="00071444">
        <w:rPr>
          <w:rFonts w:asciiTheme="minorEastAsia" w:hAnsiTheme="minorEastAsia" w:hint="eastAsia"/>
        </w:rPr>
        <w:t>，而仅仅以公开数据和财务指标作为考量依据。在此标准下，根据</w:t>
      </w:r>
      <w:r w:rsidR="00066C59" w:rsidRPr="00071444">
        <w:rPr>
          <w:rFonts w:asciiTheme="minorEastAsia" w:hAnsiTheme="minorEastAsia" w:hint="eastAsia"/>
        </w:rPr>
        <w:t>本期报告的数据显示，深交所上市的深圳主板、中小板和创业板表现出的活力</w:t>
      </w:r>
      <w:r w:rsidR="0050019C" w:rsidRPr="00071444">
        <w:rPr>
          <w:rFonts w:asciiTheme="minorEastAsia" w:hAnsiTheme="minorEastAsia" w:hint="eastAsia"/>
        </w:rPr>
        <w:t>不</w:t>
      </w:r>
      <w:r w:rsidR="00066C59" w:rsidRPr="00071444">
        <w:rPr>
          <w:rFonts w:asciiTheme="minorEastAsia" w:hAnsiTheme="minorEastAsia" w:hint="eastAsia"/>
        </w:rPr>
        <w:t>容小觑，较上交所表现出了更强的竞争力。这与近年来深交所吸引更多中小企业、科创企业上市的策略不无关系</w:t>
      </w:r>
      <w:bookmarkStart w:id="0" w:name="_GoBack"/>
      <w:bookmarkEnd w:id="0"/>
      <w:r w:rsidR="00066C59" w:rsidRPr="00071444">
        <w:rPr>
          <w:rFonts w:asciiTheme="minorEastAsia" w:hAnsiTheme="minorEastAsia" w:hint="eastAsia"/>
        </w:rPr>
        <w:t>。</w:t>
      </w:r>
    </w:p>
    <w:p w:rsidR="000F2254" w:rsidRPr="00ED2476" w:rsidRDefault="000F2254" w:rsidP="00236148">
      <w:pPr>
        <w:widowControl/>
        <w:ind w:firstLineChars="200" w:firstLine="480"/>
        <w:jc w:val="left"/>
        <w:rPr>
          <w:rFonts w:ascii="Calibri" w:eastAsia="宋体" w:hAnsi="Calibri" w:cs="Helvetica"/>
          <w:color w:val="FF0000"/>
          <w:kern w:val="0"/>
          <w:sz w:val="24"/>
          <w:szCs w:val="24"/>
        </w:rPr>
      </w:pPr>
    </w:p>
    <w:p w:rsidR="008E0B33" w:rsidRPr="00071444" w:rsidRDefault="00CE4D40" w:rsidP="00071444">
      <w:pPr>
        <w:rPr>
          <w:rFonts w:asciiTheme="minorEastAsia" w:hAnsiTheme="minorEastAsia"/>
          <w:b/>
          <w:sz w:val="24"/>
          <w:szCs w:val="24"/>
        </w:rPr>
      </w:pPr>
      <w:r w:rsidRPr="00071444">
        <w:rPr>
          <w:rFonts w:asciiTheme="minorEastAsia" w:hAnsiTheme="minorEastAsia"/>
          <w:b/>
          <w:sz w:val="24"/>
          <w:szCs w:val="24"/>
        </w:rPr>
        <w:t>免责声明</w:t>
      </w:r>
      <w:r w:rsidRPr="00071444">
        <w:rPr>
          <w:rFonts w:asciiTheme="minorEastAsia" w:hAnsiTheme="minorEastAsia" w:hint="eastAsia"/>
          <w:b/>
          <w:sz w:val="24"/>
          <w:szCs w:val="24"/>
        </w:rPr>
        <w:t>：</w:t>
      </w:r>
    </w:p>
    <w:p w:rsidR="00071444" w:rsidRDefault="00071444" w:rsidP="00071444">
      <w:pPr>
        <w:spacing w:line="360" w:lineRule="auto"/>
        <w:ind w:firstLineChars="200" w:firstLine="420"/>
        <w:rPr>
          <w:rFonts w:asciiTheme="minorEastAsia" w:hAnsiTheme="minorEastAsia" w:hint="eastAsia"/>
        </w:rPr>
      </w:pPr>
    </w:p>
    <w:p w:rsidR="00CE4D40" w:rsidRPr="00071444" w:rsidRDefault="006A4587" w:rsidP="00071444">
      <w:pPr>
        <w:spacing w:line="360" w:lineRule="auto"/>
        <w:ind w:firstLineChars="200" w:firstLine="420"/>
        <w:rPr>
          <w:rFonts w:asciiTheme="minorEastAsia" w:hAnsiTheme="minorEastAsia"/>
        </w:rPr>
      </w:pPr>
      <w:r w:rsidRPr="00071444">
        <w:rPr>
          <w:rFonts w:asciiTheme="minorEastAsia" w:hAnsiTheme="minorEastAsia"/>
        </w:rPr>
        <w:t>本轮评估</w:t>
      </w:r>
      <w:r w:rsidR="00ED2476" w:rsidRPr="00071444">
        <w:rPr>
          <w:rFonts w:asciiTheme="minorEastAsia" w:hAnsiTheme="minorEastAsia"/>
        </w:rPr>
        <w:t>过程中所</w:t>
      </w:r>
      <w:r w:rsidRPr="00071444">
        <w:rPr>
          <w:rFonts w:asciiTheme="minorEastAsia" w:hAnsiTheme="minorEastAsia"/>
        </w:rPr>
        <w:t>采用数据</w:t>
      </w:r>
      <w:r w:rsidR="00ED2476" w:rsidRPr="00071444">
        <w:rPr>
          <w:rFonts w:asciiTheme="minorEastAsia" w:hAnsiTheme="minorEastAsia"/>
        </w:rPr>
        <w:t>均来自</w:t>
      </w:r>
      <w:r w:rsidR="00906FC3" w:rsidRPr="00071444">
        <w:rPr>
          <w:rFonts w:asciiTheme="minorEastAsia" w:hAnsiTheme="minorEastAsia"/>
        </w:rPr>
        <w:t>公开</w:t>
      </w:r>
      <w:r w:rsidR="00ED2476" w:rsidRPr="00071444">
        <w:rPr>
          <w:rFonts w:asciiTheme="minorEastAsia" w:hAnsiTheme="minorEastAsia"/>
        </w:rPr>
        <w:t>信息</w:t>
      </w:r>
      <w:r w:rsidR="00906FC3" w:rsidRPr="00071444">
        <w:rPr>
          <w:rFonts w:asciiTheme="minorEastAsia" w:hAnsiTheme="minorEastAsia" w:hint="eastAsia"/>
        </w:rPr>
        <w:t>，</w:t>
      </w:r>
      <w:r w:rsidRPr="00071444">
        <w:rPr>
          <w:rFonts w:asciiTheme="minorEastAsia" w:hAnsiTheme="minorEastAsia"/>
        </w:rPr>
        <w:t>包括上市公司各季度</w:t>
      </w:r>
      <w:r w:rsidRPr="00071444">
        <w:rPr>
          <w:rFonts w:asciiTheme="minorEastAsia" w:hAnsiTheme="minorEastAsia" w:hint="eastAsia"/>
        </w:rPr>
        <w:t>、</w:t>
      </w:r>
      <w:r w:rsidRPr="00071444">
        <w:rPr>
          <w:rFonts w:asciiTheme="minorEastAsia" w:hAnsiTheme="minorEastAsia"/>
        </w:rPr>
        <w:t>年报披露数据</w:t>
      </w:r>
      <w:r w:rsidRPr="00071444">
        <w:rPr>
          <w:rFonts w:asciiTheme="minorEastAsia" w:hAnsiTheme="minorEastAsia" w:hint="eastAsia"/>
        </w:rPr>
        <w:t>、</w:t>
      </w:r>
      <w:r w:rsidRPr="00071444">
        <w:rPr>
          <w:rFonts w:asciiTheme="minorEastAsia" w:hAnsiTheme="minorEastAsia"/>
        </w:rPr>
        <w:t>证监会及各行政部门公开披露信息</w:t>
      </w:r>
      <w:r w:rsidRPr="00071444">
        <w:rPr>
          <w:rFonts w:asciiTheme="minorEastAsia" w:hAnsiTheme="minorEastAsia" w:hint="eastAsia"/>
        </w:rPr>
        <w:t>。</w:t>
      </w:r>
      <w:r w:rsidR="0018514D" w:rsidRPr="00071444">
        <w:rPr>
          <w:rFonts w:asciiTheme="minorEastAsia" w:hAnsiTheme="minorEastAsia" w:hint="eastAsia"/>
        </w:rPr>
        <w:t>投资</w:t>
      </w:r>
      <w:r w:rsidR="0018514D" w:rsidRPr="00071444">
        <w:rPr>
          <w:rFonts w:asciiTheme="minorEastAsia" w:hAnsiTheme="minorEastAsia"/>
        </w:rPr>
        <w:t>有风险，投资需谨慎。</w:t>
      </w:r>
      <w:r w:rsidR="000C0B2D" w:rsidRPr="00071444">
        <w:rPr>
          <w:rFonts w:asciiTheme="minorEastAsia" w:hAnsiTheme="minorEastAsia" w:hint="eastAsia"/>
        </w:rPr>
        <w:t>此报告</w:t>
      </w:r>
      <w:r w:rsidR="000C0B2D" w:rsidRPr="00071444">
        <w:rPr>
          <w:rFonts w:asciiTheme="minorEastAsia" w:hAnsiTheme="minorEastAsia"/>
        </w:rPr>
        <w:t>不构成</w:t>
      </w:r>
      <w:r w:rsidR="004E2B16" w:rsidRPr="00071444">
        <w:rPr>
          <w:rFonts w:asciiTheme="minorEastAsia" w:hAnsiTheme="minorEastAsia" w:hint="eastAsia"/>
        </w:rPr>
        <w:t>对</w:t>
      </w:r>
      <w:r w:rsidR="000C0B2D" w:rsidRPr="00071444">
        <w:rPr>
          <w:rFonts w:asciiTheme="minorEastAsia" w:hAnsiTheme="minorEastAsia"/>
        </w:rPr>
        <w:t>任何</w:t>
      </w:r>
      <w:r w:rsidR="004E2B16" w:rsidRPr="00071444">
        <w:rPr>
          <w:rFonts w:asciiTheme="minorEastAsia" w:hAnsiTheme="minorEastAsia" w:hint="eastAsia"/>
        </w:rPr>
        <w:t>上市</w:t>
      </w:r>
      <w:r w:rsidR="004E2B16" w:rsidRPr="00071444">
        <w:rPr>
          <w:rFonts w:asciiTheme="minorEastAsia" w:hAnsiTheme="minorEastAsia"/>
        </w:rPr>
        <w:t>公司的</w:t>
      </w:r>
      <w:r w:rsidR="000C0B2D" w:rsidRPr="00071444">
        <w:rPr>
          <w:rFonts w:asciiTheme="minorEastAsia" w:hAnsiTheme="minorEastAsia"/>
        </w:rPr>
        <w:t>投资建议，</w:t>
      </w:r>
      <w:r w:rsidR="00297354" w:rsidRPr="00071444">
        <w:rPr>
          <w:rFonts w:asciiTheme="minorEastAsia" w:hAnsiTheme="minorEastAsia" w:hint="eastAsia"/>
        </w:rPr>
        <w:t>投资者</w:t>
      </w:r>
      <w:r w:rsidR="000C0B2D" w:rsidRPr="00071444">
        <w:rPr>
          <w:rFonts w:asciiTheme="minorEastAsia" w:hAnsiTheme="minorEastAsia" w:hint="eastAsia"/>
        </w:rPr>
        <w:t>若</w:t>
      </w:r>
      <w:r w:rsidR="00297354" w:rsidRPr="00071444">
        <w:rPr>
          <w:rFonts w:asciiTheme="minorEastAsia" w:hAnsiTheme="minorEastAsia" w:hint="eastAsia"/>
        </w:rPr>
        <w:t>参考报告结论</w:t>
      </w:r>
      <w:r w:rsidRPr="00071444">
        <w:rPr>
          <w:rFonts w:asciiTheme="minorEastAsia" w:hAnsiTheme="minorEastAsia" w:hint="eastAsia"/>
        </w:rPr>
        <w:t>投资</w:t>
      </w:r>
      <w:r w:rsidR="00ED2476" w:rsidRPr="00071444">
        <w:rPr>
          <w:rFonts w:asciiTheme="minorEastAsia" w:hAnsiTheme="minorEastAsia" w:hint="eastAsia"/>
        </w:rPr>
        <w:t>所造成的</w:t>
      </w:r>
      <w:r w:rsidRPr="00071444">
        <w:rPr>
          <w:rFonts w:asciiTheme="minorEastAsia" w:hAnsiTheme="minorEastAsia" w:hint="eastAsia"/>
        </w:rPr>
        <w:t>盈亏</w:t>
      </w:r>
      <w:r w:rsidR="004C4F70" w:rsidRPr="00071444">
        <w:rPr>
          <w:rFonts w:asciiTheme="minorEastAsia" w:hAnsiTheme="minorEastAsia" w:hint="eastAsia"/>
        </w:rPr>
        <w:t>，</w:t>
      </w:r>
      <w:r w:rsidR="00ED2476" w:rsidRPr="00071444">
        <w:rPr>
          <w:rFonts w:asciiTheme="minorEastAsia" w:hAnsiTheme="minorEastAsia" w:hint="eastAsia"/>
        </w:rPr>
        <w:t>本报告出具方及学术支持、数据支持方均</w:t>
      </w:r>
      <w:r w:rsidR="004C4F70" w:rsidRPr="00071444">
        <w:rPr>
          <w:rFonts w:asciiTheme="minorEastAsia" w:hAnsiTheme="minorEastAsia" w:hint="eastAsia"/>
        </w:rPr>
        <w:t>不</w:t>
      </w:r>
      <w:r w:rsidR="00297354" w:rsidRPr="00071444">
        <w:rPr>
          <w:rFonts w:asciiTheme="minorEastAsia" w:hAnsiTheme="minorEastAsia" w:hint="eastAsia"/>
        </w:rPr>
        <w:t>承担</w:t>
      </w:r>
      <w:r w:rsidR="004C4F70" w:rsidRPr="00071444">
        <w:rPr>
          <w:rFonts w:asciiTheme="minorEastAsia" w:hAnsiTheme="minorEastAsia" w:hint="eastAsia"/>
        </w:rPr>
        <w:t>任何</w:t>
      </w:r>
      <w:r w:rsidR="00ED2476" w:rsidRPr="00071444">
        <w:rPr>
          <w:rFonts w:asciiTheme="minorEastAsia" w:hAnsiTheme="minorEastAsia" w:hint="eastAsia"/>
        </w:rPr>
        <w:t>法律</w:t>
      </w:r>
      <w:r w:rsidR="004C4F70" w:rsidRPr="00071444">
        <w:rPr>
          <w:rFonts w:asciiTheme="minorEastAsia" w:hAnsiTheme="minorEastAsia" w:hint="eastAsia"/>
        </w:rPr>
        <w:t>责任</w:t>
      </w:r>
      <w:r w:rsidR="00ED2476" w:rsidRPr="00071444">
        <w:rPr>
          <w:rFonts w:asciiTheme="minorEastAsia" w:hAnsiTheme="minorEastAsia" w:hint="eastAsia"/>
        </w:rPr>
        <w:t>。</w:t>
      </w:r>
    </w:p>
    <w:sectPr w:rsidR="00CE4D40" w:rsidRPr="00071444" w:rsidSect="00800F03">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3C8982" w15:done="0"/>
  <w15:commentEx w15:paraId="617E7421" w15:done="0"/>
  <w15:commentEx w15:paraId="4B39F4C6" w15:done="0"/>
  <w15:commentEx w15:paraId="09702128" w15:done="0"/>
  <w15:commentEx w15:paraId="2DB4AB1D" w15:done="0"/>
  <w15:commentEx w15:paraId="07153821" w15:done="0"/>
  <w15:commentEx w15:paraId="5416ED21" w15:done="0"/>
  <w15:commentEx w15:paraId="0E93EC19" w15:done="0"/>
  <w15:commentEx w15:paraId="5BD53E24" w15:done="0"/>
  <w15:commentEx w15:paraId="1EBDDAB9" w15:done="0"/>
  <w15:commentEx w15:paraId="747CB76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B8A" w:rsidRDefault="000C1B8A" w:rsidP="008F38D4">
      <w:r>
        <w:separator/>
      </w:r>
    </w:p>
  </w:endnote>
  <w:endnote w:type="continuationSeparator" w:id="1">
    <w:p w:rsidR="000C1B8A" w:rsidRDefault="000C1B8A" w:rsidP="008F38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B8A" w:rsidRDefault="000C1B8A" w:rsidP="008F38D4">
      <w:r>
        <w:separator/>
      </w:r>
    </w:p>
  </w:footnote>
  <w:footnote w:type="continuationSeparator" w:id="1">
    <w:p w:rsidR="000C1B8A" w:rsidRDefault="000C1B8A" w:rsidP="008F38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05A16"/>
    <w:multiLevelType w:val="multilevel"/>
    <w:tmpl w:val="B0F8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A73C8F"/>
    <w:multiLevelType w:val="multilevel"/>
    <w:tmpl w:val="FF5C2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035453"/>
    <w:multiLevelType w:val="hybridMultilevel"/>
    <w:tmpl w:val="7E4C8E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4B647A5"/>
    <w:multiLevelType w:val="multilevel"/>
    <w:tmpl w:val="7DC6B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Genliang">
    <w15:presenceInfo w15:providerId="AD" w15:userId="S-1-5-21-2109554190-993638810-2755569254-97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38D4"/>
    <w:rsid w:val="00010D6B"/>
    <w:rsid w:val="00030E48"/>
    <w:rsid w:val="00037097"/>
    <w:rsid w:val="00053107"/>
    <w:rsid w:val="00066C59"/>
    <w:rsid w:val="00071444"/>
    <w:rsid w:val="000A376B"/>
    <w:rsid w:val="000B12B3"/>
    <w:rsid w:val="000B5C03"/>
    <w:rsid w:val="000C0B2D"/>
    <w:rsid w:val="000C1B8A"/>
    <w:rsid w:val="000E1D34"/>
    <w:rsid w:val="000F2254"/>
    <w:rsid w:val="00111043"/>
    <w:rsid w:val="00132ECE"/>
    <w:rsid w:val="00140EFF"/>
    <w:rsid w:val="001621BD"/>
    <w:rsid w:val="0018514D"/>
    <w:rsid w:val="00194F74"/>
    <w:rsid w:val="001A2B4A"/>
    <w:rsid w:val="001B4B49"/>
    <w:rsid w:val="001B6121"/>
    <w:rsid w:val="001C4E50"/>
    <w:rsid w:val="001D59A6"/>
    <w:rsid w:val="001E50F9"/>
    <w:rsid w:val="00201CFB"/>
    <w:rsid w:val="00236148"/>
    <w:rsid w:val="00247C13"/>
    <w:rsid w:val="002576E0"/>
    <w:rsid w:val="00260867"/>
    <w:rsid w:val="00272B29"/>
    <w:rsid w:val="00276B13"/>
    <w:rsid w:val="00297354"/>
    <w:rsid w:val="002B26B4"/>
    <w:rsid w:val="002B6CC3"/>
    <w:rsid w:val="002E5159"/>
    <w:rsid w:val="00314918"/>
    <w:rsid w:val="0032184D"/>
    <w:rsid w:val="00323BAE"/>
    <w:rsid w:val="003854CF"/>
    <w:rsid w:val="00391037"/>
    <w:rsid w:val="00392354"/>
    <w:rsid w:val="00400AB5"/>
    <w:rsid w:val="00417CD4"/>
    <w:rsid w:val="00475785"/>
    <w:rsid w:val="00481843"/>
    <w:rsid w:val="004B7001"/>
    <w:rsid w:val="004C4F70"/>
    <w:rsid w:val="004E2B16"/>
    <w:rsid w:val="004F77CF"/>
    <w:rsid w:val="0050019C"/>
    <w:rsid w:val="0051075F"/>
    <w:rsid w:val="005147A5"/>
    <w:rsid w:val="00531B4F"/>
    <w:rsid w:val="0058482A"/>
    <w:rsid w:val="005A125A"/>
    <w:rsid w:val="005C616E"/>
    <w:rsid w:val="005D1F0F"/>
    <w:rsid w:val="005D510C"/>
    <w:rsid w:val="00601ABC"/>
    <w:rsid w:val="00604A49"/>
    <w:rsid w:val="00605B5C"/>
    <w:rsid w:val="006322CA"/>
    <w:rsid w:val="00635696"/>
    <w:rsid w:val="00650945"/>
    <w:rsid w:val="00655FFB"/>
    <w:rsid w:val="00695612"/>
    <w:rsid w:val="006A4587"/>
    <w:rsid w:val="006A746B"/>
    <w:rsid w:val="006B79D7"/>
    <w:rsid w:val="006C42A2"/>
    <w:rsid w:val="006E01E0"/>
    <w:rsid w:val="006E19C4"/>
    <w:rsid w:val="007228CF"/>
    <w:rsid w:val="007314EA"/>
    <w:rsid w:val="00743A8A"/>
    <w:rsid w:val="007640D9"/>
    <w:rsid w:val="00780F2B"/>
    <w:rsid w:val="007D0667"/>
    <w:rsid w:val="007E0A8A"/>
    <w:rsid w:val="007F5000"/>
    <w:rsid w:val="007F7885"/>
    <w:rsid w:val="00800F03"/>
    <w:rsid w:val="00806970"/>
    <w:rsid w:val="008222C4"/>
    <w:rsid w:val="00841084"/>
    <w:rsid w:val="00873B79"/>
    <w:rsid w:val="008B0FC2"/>
    <w:rsid w:val="008E0B33"/>
    <w:rsid w:val="008F0328"/>
    <w:rsid w:val="008F38D4"/>
    <w:rsid w:val="00906FC3"/>
    <w:rsid w:val="009134DA"/>
    <w:rsid w:val="0092791C"/>
    <w:rsid w:val="00937182"/>
    <w:rsid w:val="009748D8"/>
    <w:rsid w:val="00982EE5"/>
    <w:rsid w:val="00993ECC"/>
    <w:rsid w:val="009A3571"/>
    <w:rsid w:val="009E4065"/>
    <w:rsid w:val="009E756D"/>
    <w:rsid w:val="009F066F"/>
    <w:rsid w:val="00A215C8"/>
    <w:rsid w:val="00AA32F5"/>
    <w:rsid w:val="00AD13E6"/>
    <w:rsid w:val="00AD390A"/>
    <w:rsid w:val="00AD57BE"/>
    <w:rsid w:val="00AE0762"/>
    <w:rsid w:val="00AF6B90"/>
    <w:rsid w:val="00B50598"/>
    <w:rsid w:val="00B6333C"/>
    <w:rsid w:val="00B7334E"/>
    <w:rsid w:val="00B90C87"/>
    <w:rsid w:val="00BB54D6"/>
    <w:rsid w:val="00BC4E77"/>
    <w:rsid w:val="00BF4B1E"/>
    <w:rsid w:val="00C079DF"/>
    <w:rsid w:val="00C1331A"/>
    <w:rsid w:val="00C25F7E"/>
    <w:rsid w:val="00CE4D40"/>
    <w:rsid w:val="00D22AD7"/>
    <w:rsid w:val="00D260B8"/>
    <w:rsid w:val="00D4074A"/>
    <w:rsid w:val="00D57408"/>
    <w:rsid w:val="00D87DBD"/>
    <w:rsid w:val="00D90FF9"/>
    <w:rsid w:val="00DA7673"/>
    <w:rsid w:val="00DB77DB"/>
    <w:rsid w:val="00E02BE1"/>
    <w:rsid w:val="00E17DF6"/>
    <w:rsid w:val="00E265B3"/>
    <w:rsid w:val="00E76FED"/>
    <w:rsid w:val="00E87E38"/>
    <w:rsid w:val="00E9395B"/>
    <w:rsid w:val="00EB734E"/>
    <w:rsid w:val="00ED2476"/>
    <w:rsid w:val="00EE12F3"/>
    <w:rsid w:val="00F02D86"/>
    <w:rsid w:val="00F03978"/>
    <w:rsid w:val="00F10A99"/>
    <w:rsid w:val="00F172C6"/>
    <w:rsid w:val="00F20A3C"/>
    <w:rsid w:val="00F97E64"/>
    <w:rsid w:val="00FA3581"/>
    <w:rsid w:val="00FB30BF"/>
    <w:rsid w:val="00FD77A1"/>
    <w:rsid w:val="00FF3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A49"/>
    <w:pPr>
      <w:widowControl w:val="0"/>
      <w:jc w:val="both"/>
    </w:pPr>
  </w:style>
  <w:style w:type="paragraph" w:styleId="1">
    <w:name w:val="heading 1"/>
    <w:basedOn w:val="a"/>
    <w:next w:val="a"/>
    <w:link w:val="1Char"/>
    <w:uiPriority w:val="9"/>
    <w:qFormat/>
    <w:rsid w:val="00D22AD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22AD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32ECE"/>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32EC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32ECE"/>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132ECE"/>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38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38D4"/>
    <w:rPr>
      <w:sz w:val="18"/>
      <w:szCs w:val="18"/>
    </w:rPr>
  </w:style>
  <w:style w:type="paragraph" w:styleId="a4">
    <w:name w:val="footer"/>
    <w:basedOn w:val="a"/>
    <w:link w:val="Char0"/>
    <w:uiPriority w:val="99"/>
    <w:semiHidden/>
    <w:unhideWhenUsed/>
    <w:rsid w:val="008F38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38D4"/>
    <w:rPr>
      <w:sz w:val="18"/>
      <w:szCs w:val="18"/>
    </w:rPr>
  </w:style>
  <w:style w:type="character" w:customStyle="1" w:styleId="apple-style-span">
    <w:name w:val="apple-style-span"/>
    <w:basedOn w:val="a0"/>
    <w:rsid w:val="009F066F"/>
  </w:style>
  <w:style w:type="character" w:customStyle="1" w:styleId="apple-converted-space">
    <w:name w:val="apple-converted-space"/>
    <w:basedOn w:val="a0"/>
    <w:rsid w:val="009F066F"/>
  </w:style>
  <w:style w:type="paragraph" w:styleId="a5">
    <w:name w:val="Normal (Web)"/>
    <w:basedOn w:val="a"/>
    <w:uiPriority w:val="99"/>
    <w:semiHidden/>
    <w:unhideWhenUsed/>
    <w:rsid w:val="009F066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F066F"/>
    <w:rPr>
      <w:b/>
      <w:bCs/>
    </w:rPr>
  </w:style>
  <w:style w:type="character" w:styleId="a7">
    <w:name w:val="Hyperlink"/>
    <w:basedOn w:val="a0"/>
    <w:uiPriority w:val="99"/>
    <w:semiHidden/>
    <w:unhideWhenUsed/>
    <w:rsid w:val="00314918"/>
    <w:rPr>
      <w:color w:val="0000FF"/>
      <w:u w:val="single"/>
    </w:rPr>
  </w:style>
  <w:style w:type="character" w:styleId="a8">
    <w:name w:val="FollowedHyperlink"/>
    <w:basedOn w:val="a0"/>
    <w:uiPriority w:val="99"/>
    <w:semiHidden/>
    <w:unhideWhenUsed/>
    <w:rsid w:val="00314918"/>
    <w:rPr>
      <w:color w:val="800080"/>
      <w:u w:val="single"/>
    </w:rPr>
  </w:style>
  <w:style w:type="paragraph" w:customStyle="1" w:styleId="font5">
    <w:name w:val="font5"/>
    <w:basedOn w:val="a"/>
    <w:rsid w:val="00314918"/>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31491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4">
    <w:name w:val="xl64"/>
    <w:basedOn w:val="a"/>
    <w:rsid w:val="00314918"/>
    <w:pPr>
      <w:widowControl/>
      <w:shd w:val="clear" w:color="000000" w:fill="FFFF00"/>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1Char">
    <w:name w:val="标题 1 Char"/>
    <w:basedOn w:val="a0"/>
    <w:link w:val="1"/>
    <w:uiPriority w:val="9"/>
    <w:rsid w:val="00D22AD7"/>
    <w:rPr>
      <w:b/>
      <w:bCs/>
      <w:kern w:val="44"/>
      <w:sz w:val="44"/>
      <w:szCs w:val="44"/>
    </w:rPr>
  </w:style>
  <w:style w:type="character" w:customStyle="1" w:styleId="2Char">
    <w:name w:val="标题 2 Char"/>
    <w:basedOn w:val="a0"/>
    <w:link w:val="2"/>
    <w:uiPriority w:val="9"/>
    <w:rsid w:val="00D22AD7"/>
    <w:rPr>
      <w:rFonts w:asciiTheme="majorHAnsi" w:eastAsiaTheme="majorEastAsia" w:hAnsiTheme="majorHAnsi" w:cstheme="majorBidi"/>
      <w:b/>
      <w:bCs/>
      <w:sz w:val="32"/>
      <w:szCs w:val="32"/>
    </w:rPr>
  </w:style>
  <w:style w:type="paragraph" w:styleId="a9">
    <w:name w:val="Title"/>
    <w:basedOn w:val="a"/>
    <w:next w:val="a"/>
    <w:link w:val="Char1"/>
    <w:uiPriority w:val="10"/>
    <w:qFormat/>
    <w:rsid w:val="00D22AD7"/>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9"/>
    <w:uiPriority w:val="10"/>
    <w:rsid w:val="00D22AD7"/>
    <w:rPr>
      <w:rFonts w:asciiTheme="majorHAnsi" w:eastAsia="宋体" w:hAnsiTheme="majorHAnsi" w:cstheme="majorBidi"/>
      <w:b/>
      <w:bCs/>
      <w:sz w:val="32"/>
      <w:szCs w:val="32"/>
    </w:rPr>
  </w:style>
  <w:style w:type="paragraph" w:styleId="aa">
    <w:name w:val="No Spacing"/>
    <w:uiPriority w:val="1"/>
    <w:qFormat/>
    <w:rsid w:val="00132ECE"/>
    <w:pPr>
      <w:widowControl w:val="0"/>
      <w:jc w:val="both"/>
    </w:pPr>
  </w:style>
  <w:style w:type="character" w:customStyle="1" w:styleId="3Char">
    <w:name w:val="标题 3 Char"/>
    <w:basedOn w:val="a0"/>
    <w:link w:val="3"/>
    <w:uiPriority w:val="9"/>
    <w:rsid w:val="00132ECE"/>
    <w:rPr>
      <w:b/>
      <w:bCs/>
      <w:sz w:val="32"/>
      <w:szCs w:val="32"/>
    </w:rPr>
  </w:style>
  <w:style w:type="character" w:customStyle="1" w:styleId="4Char">
    <w:name w:val="标题 4 Char"/>
    <w:basedOn w:val="a0"/>
    <w:link w:val="4"/>
    <w:uiPriority w:val="9"/>
    <w:rsid w:val="00132ECE"/>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32ECE"/>
    <w:rPr>
      <w:b/>
      <w:bCs/>
      <w:sz w:val="28"/>
      <w:szCs w:val="28"/>
    </w:rPr>
  </w:style>
  <w:style w:type="character" w:customStyle="1" w:styleId="6Char">
    <w:name w:val="标题 6 Char"/>
    <w:basedOn w:val="a0"/>
    <w:link w:val="6"/>
    <w:uiPriority w:val="9"/>
    <w:rsid w:val="00132ECE"/>
    <w:rPr>
      <w:rFonts w:asciiTheme="majorHAnsi" w:eastAsiaTheme="majorEastAsia" w:hAnsiTheme="majorHAnsi" w:cstheme="majorBidi"/>
      <w:b/>
      <w:bCs/>
      <w:sz w:val="24"/>
      <w:szCs w:val="24"/>
    </w:rPr>
  </w:style>
  <w:style w:type="paragraph" w:styleId="ab">
    <w:name w:val="Balloon Text"/>
    <w:basedOn w:val="a"/>
    <w:link w:val="Char2"/>
    <w:uiPriority w:val="99"/>
    <w:semiHidden/>
    <w:unhideWhenUsed/>
    <w:rsid w:val="00276B13"/>
    <w:rPr>
      <w:sz w:val="18"/>
      <w:szCs w:val="18"/>
    </w:rPr>
  </w:style>
  <w:style w:type="character" w:customStyle="1" w:styleId="Char2">
    <w:name w:val="批注框文本 Char"/>
    <w:basedOn w:val="a0"/>
    <w:link w:val="ab"/>
    <w:uiPriority w:val="99"/>
    <w:semiHidden/>
    <w:rsid w:val="00276B13"/>
    <w:rPr>
      <w:sz w:val="18"/>
      <w:szCs w:val="18"/>
    </w:rPr>
  </w:style>
  <w:style w:type="paragraph" w:styleId="ac">
    <w:name w:val="List Paragraph"/>
    <w:basedOn w:val="a"/>
    <w:uiPriority w:val="34"/>
    <w:qFormat/>
    <w:rsid w:val="00ED2476"/>
    <w:pPr>
      <w:ind w:firstLineChars="200" w:firstLine="420"/>
    </w:pPr>
  </w:style>
  <w:style w:type="character" w:styleId="ad">
    <w:name w:val="annotation reference"/>
    <w:basedOn w:val="a0"/>
    <w:uiPriority w:val="99"/>
    <w:semiHidden/>
    <w:unhideWhenUsed/>
    <w:rsid w:val="00982EE5"/>
    <w:rPr>
      <w:sz w:val="21"/>
      <w:szCs w:val="21"/>
    </w:rPr>
  </w:style>
  <w:style w:type="paragraph" w:styleId="ae">
    <w:name w:val="annotation text"/>
    <w:basedOn w:val="a"/>
    <w:link w:val="Char3"/>
    <w:uiPriority w:val="99"/>
    <w:semiHidden/>
    <w:unhideWhenUsed/>
    <w:rsid w:val="00982EE5"/>
    <w:pPr>
      <w:jc w:val="left"/>
    </w:pPr>
  </w:style>
  <w:style w:type="character" w:customStyle="1" w:styleId="Char3">
    <w:name w:val="批注文字 Char"/>
    <w:basedOn w:val="a0"/>
    <w:link w:val="ae"/>
    <w:uiPriority w:val="99"/>
    <w:semiHidden/>
    <w:rsid w:val="00982EE5"/>
  </w:style>
  <w:style w:type="paragraph" w:styleId="af">
    <w:name w:val="annotation subject"/>
    <w:basedOn w:val="ae"/>
    <w:next w:val="ae"/>
    <w:link w:val="Char4"/>
    <w:uiPriority w:val="99"/>
    <w:semiHidden/>
    <w:unhideWhenUsed/>
    <w:rsid w:val="00982EE5"/>
    <w:rPr>
      <w:b/>
      <w:bCs/>
    </w:rPr>
  </w:style>
  <w:style w:type="character" w:customStyle="1" w:styleId="Char4">
    <w:name w:val="批注主题 Char"/>
    <w:basedOn w:val="Char3"/>
    <w:link w:val="af"/>
    <w:uiPriority w:val="99"/>
    <w:semiHidden/>
    <w:rsid w:val="00982EE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A49"/>
    <w:pPr>
      <w:widowControl w:val="0"/>
      <w:jc w:val="both"/>
    </w:pPr>
  </w:style>
  <w:style w:type="paragraph" w:styleId="Heading1">
    <w:name w:val="heading 1"/>
    <w:basedOn w:val="Normal"/>
    <w:next w:val="Normal"/>
    <w:link w:val="Heading1Char"/>
    <w:uiPriority w:val="9"/>
    <w:qFormat/>
    <w:rsid w:val="00D22AD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D22AD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132ECE"/>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132EC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unhideWhenUsed/>
    <w:qFormat/>
    <w:rsid w:val="00132ECE"/>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
    <w:unhideWhenUsed/>
    <w:qFormat/>
    <w:rsid w:val="00132ECE"/>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38D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F38D4"/>
    <w:rPr>
      <w:sz w:val="18"/>
      <w:szCs w:val="18"/>
    </w:rPr>
  </w:style>
  <w:style w:type="paragraph" w:styleId="Footer">
    <w:name w:val="footer"/>
    <w:basedOn w:val="Normal"/>
    <w:link w:val="FooterChar"/>
    <w:uiPriority w:val="99"/>
    <w:semiHidden/>
    <w:unhideWhenUsed/>
    <w:rsid w:val="008F38D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F38D4"/>
    <w:rPr>
      <w:sz w:val="18"/>
      <w:szCs w:val="18"/>
    </w:rPr>
  </w:style>
  <w:style w:type="character" w:customStyle="1" w:styleId="apple-style-span">
    <w:name w:val="apple-style-span"/>
    <w:basedOn w:val="DefaultParagraphFont"/>
    <w:rsid w:val="009F066F"/>
  </w:style>
  <w:style w:type="character" w:customStyle="1" w:styleId="apple-converted-space">
    <w:name w:val="apple-converted-space"/>
    <w:basedOn w:val="DefaultParagraphFont"/>
    <w:rsid w:val="009F066F"/>
  </w:style>
  <w:style w:type="paragraph" w:styleId="NormalWeb">
    <w:name w:val="Normal (Web)"/>
    <w:basedOn w:val="Normal"/>
    <w:uiPriority w:val="99"/>
    <w:semiHidden/>
    <w:unhideWhenUsed/>
    <w:rsid w:val="009F066F"/>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sid w:val="009F066F"/>
    <w:rPr>
      <w:b/>
      <w:bCs/>
    </w:rPr>
  </w:style>
  <w:style w:type="character" w:styleId="Hyperlink">
    <w:name w:val="Hyperlink"/>
    <w:basedOn w:val="DefaultParagraphFont"/>
    <w:uiPriority w:val="99"/>
    <w:semiHidden/>
    <w:unhideWhenUsed/>
    <w:rsid w:val="00314918"/>
    <w:rPr>
      <w:color w:val="0000FF"/>
      <w:u w:val="single"/>
    </w:rPr>
  </w:style>
  <w:style w:type="character" w:styleId="FollowedHyperlink">
    <w:name w:val="FollowedHyperlink"/>
    <w:basedOn w:val="DefaultParagraphFont"/>
    <w:uiPriority w:val="99"/>
    <w:semiHidden/>
    <w:unhideWhenUsed/>
    <w:rsid w:val="00314918"/>
    <w:rPr>
      <w:color w:val="800080"/>
      <w:u w:val="single"/>
    </w:rPr>
  </w:style>
  <w:style w:type="paragraph" w:customStyle="1" w:styleId="font5">
    <w:name w:val="font5"/>
    <w:basedOn w:val="Normal"/>
    <w:rsid w:val="00314918"/>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Normal"/>
    <w:rsid w:val="0031491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4">
    <w:name w:val="xl64"/>
    <w:basedOn w:val="Normal"/>
    <w:rsid w:val="00314918"/>
    <w:pPr>
      <w:widowControl/>
      <w:shd w:val="clear" w:color="000000" w:fill="FFFF00"/>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Heading1Char">
    <w:name w:val="Heading 1 Char"/>
    <w:basedOn w:val="DefaultParagraphFont"/>
    <w:link w:val="Heading1"/>
    <w:uiPriority w:val="9"/>
    <w:rsid w:val="00D22AD7"/>
    <w:rPr>
      <w:b/>
      <w:bCs/>
      <w:kern w:val="44"/>
      <w:sz w:val="44"/>
      <w:szCs w:val="44"/>
    </w:rPr>
  </w:style>
  <w:style w:type="character" w:customStyle="1" w:styleId="Heading2Char">
    <w:name w:val="Heading 2 Char"/>
    <w:basedOn w:val="DefaultParagraphFont"/>
    <w:link w:val="Heading2"/>
    <w:uiPriority w:val="9"/>
    <w:rsid w:val="00D22AD7"/>
    <w:rPr>
      <w:rFonts w:asciiTheme="majorHAnsi" w:eastAsiaTheme="majorEastAsia" w:hAnsiTheme="majorHAnsi" w:cstheme="majorBidi"/>
      <w:b/>
      <w:bCs/>
      <w:sz w:val="32"/>
      <w:szCs w:val="32"/>
    </w:rPr>
  </w:style>
  <w:style w:type="paragraph" w:styleId="Title">
    <w:name w:val="Title"/>
    <w:basedOn w:val="Normal"/>
    <w:next w:val="Normal"/>
    <w:link w:val="TitleChar"/>
    <w:uiPriority w:val="10"/>
    <w:qFormat/>
    <w:rsid w:val="00D22AD7"/>
    <w:pPr>
      <w:spacing w:before="240" w:after="60"/>
      <w:jc w:val="center"/>
      <w:outlineLvl w:val="0"/>
    </w:pPr>
    <w:rPr>
      <w:rFonts w:asciiTheme="majorHAnsi" w:eastAsia="宋体" w:hAnsiTheme="majorHAnsi" w:cstheme="majorBidi"/>
      <w:b/>
      <w:bCs/>
      <w:sz w:val="32"/>
      <w:szCs w:val="32"/>
    </w:rPr>
  </w:style>
  <w:style w:type="character" w:customStyle="1" w:styleId="TitleChar">
    <w:name w:val="Title Char"/>
    <w:basedOn w:val="DefaultParagraphFont"/>
    <w:link w:val="Title"/>
    <w:uiPriority w:val="10"/>
    <w:rsid w:val="00D22AD7"/>
    <w:rPr>
      <w:rFonts w:asciiTheme="majorHAnsi" w:eastAsia="宋体" w:hAnsiTheme="majorHAnsi" w:cstheme="majorBidi"/>
      <w:b/>
      <w:bCs/>
      <w:sz w:val="32"/>
      <w:szCs w:val="32"/>
    </w:rPr>
  </w:style>
  <w:style w:type="paragraph" w:styleId="NoSpacing">
    <w:name w:val="No Spacing"/>
    <w:uiPriority w:val="1"/>
    <w:qFormat/>
    <w:rsid w:val="00132ECE"/>
    <w:pPr>
      <w:widowControl w:val="0"/>
      <w:jc w:val="both"/>
    </w:pPr>
  </w:style>
  <w:style w:type="character" w:customStyle="1" w:styleId="Heading3Char">
    <w:name w:val="Heading 3 Char"/>
    <w:basedOn w:val="DefaultParagraphFont"/>
    <w:link w:val="Heading3"/>
    <w:uiPriority w:val="9"/>
    <w:rsid w:val="00132ECE"/>
    <w:rPr>
      <w:b/>
      <w:bCs/>
      <w:sz w:val="32"/>
      <w:szCs w:val="32"/>
    </w:rPr>
  </w:style>
  <w:style w:type="character" w:customStyle="1" w:styleId="Heading4Char">
    <w:name w:val="Heading 4 Char"/>
    <w:basedOn w:val="DefaultParagraphFont"/>
    <w:link w:val="Heading4"/>
    <w:uiPriority w:val="9"/>
    <w:rsid w:val="00132ECE"/>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rsid w:val="00132ECE"/>
    <w:rPr>
      <w:b/>
      <w:bCs/>
      <w:sz w:val="28"/>
      <w:szCs w:val="28"/>
    </w:rPr>
  </w:style>
  <w:style w:type="character" w:customStyle="1" w:styleId="Heading6Char">
    <w:name w:val="Heading 6 Char"/>
    <w:basedOn w:val="DefaultParagraphFont"/>
    <w:link w:val="Heading6"/>
    <w:uiPriority w:val="9"/>
    <w:rsid w:val="00132ECE"/>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276B13"/>
    <w:rPr>
      <w:sz w:val="18"/>
      <w:szCs w:val="18"/>
    </w:rPr>
  </w:style>
  <w:style w:type="character" w:customStyle="1" w:styleId="BalloonTextChar">
    <w:name w:val="Balloon Text Char"/>
    <w:basedOn w:val="DefaultParagraphFont"/>
    <w:link w:val="BalloonText"/>
    <w:uiPriority w:val="99"/>
    <w:semiHidden/>
    <w:rsid w:val="00276B13"/>
    <w:rPr>
      <w:sz w:val="18"/>
      <w:szCs w:val="18"/>
    </w:rPr>
  </w:style>
  <w:style w:type="paragraph" w:styleId="ListParagraph">
    <w:name w:val="List Paragraph"/>
    <w:basedOn w:val="Normal"/>
    <w:uiPriority w:val="34"/>
    <w:qFormat/>
    <w:rsid w:val="00ED2476"/>
    <w:pPr>
      <w:ind w:firstLineChars="200" w:firstLine="420"/>
    </w:pPr>
  </w:style>
  <w:style w:type="character" w:styleId="CommentReference">
    <w:name w:val="annotation reference"/>
    <w:basedOn w:val="DefaultParagraphFont"/>
    <w:uiPriority w:val="99"/>
    <w:semiHidden/>
    <w:unhideWhenUsed/>
    <w:rsid w:val="00982EE5"/>
    <w:rPr>
      <w:sz w:val="21"/>
      <w:szCs w:val="21"/>
    </w:rPr>
  </w:style>
  <w:style w:type="paragraph" w:styleId="CommentText">
    <w:name w:val="annotation text"/>
    <w:basedOn w:val="Normal"/>
    <w:link w:val="CommentTextChar"/>
    <w:uiPriority w:val="99"/>
    <w:semiHidden/>
    <w:unhideWhenUsed/>
    <w:rsid w:val="00982EE5"/>
    <w:pPr>
      <w:jc w:val="left"/>
    </w:pPr>
  </w:style>
  <w:style w:type="character" w:customStyle="1" w:styleId="CommentTextChar">
    <w:name w:val="Comment Text Char"/>
    <w:basedOn w:val="DefaultParagraphFont"/>
    <w:link w:val="CommentText"/>
    <w:uiPriority w:val="99"/>
    <w:semiHidden/>
    <w:rsid w:val="00982EE5"/>
  </w:style>
  <w:style w:type="paragraph" w:styleId="CommentSubject">
    <w:name w:val="annotation subject"/>
    <w:basedOn w:val="CommentText"/>
    <w:next w:val="CommentText"/>
    <w:link w:val="CommentSubjectChar"/>
    <w:uiPriority w:val="99"/>
    <w:semiHidden/>
    <w:unhideWhenUsed/>
    <w:rsid w:val="00982EE5"/>
    <w:rPr>
      <w:b/>
      <w:bCs/>
    </w:rPr>
  </w:style>
  <w:style w:type="character" w:customStyle="1" w:styleId="CommentSubjectChar">
    <w:name w:val="Comment Subject Char"/>
    <w:basedOn w:val="CommentTextChar"/>
    <w:link w:val="CommentSubject"/>
    <w:uiPriority w:val="99"/>
    <w:semiHidden/>
    <w:rsid w:val="00982EE5"/>
    <w:rPr>
      <w:b/>
      <w:bCs/>
    </w:rPr>
  </w:style>
</w:styles>
</file>

<file path=word/webSettings.xml><?xml version="1.0" encoding="utf-8"?>
<w:webSettings xmlns:r="http://schemas.openxmlformats.org/officeDocument/2006/relationships" xmlns:w="http://schemas.openxmlformats.org/wordprocessingml/2006/main">
  <w:divs>
    <w:div w:id="1235355952">
      <w:bodyDiv w:val="1"/>
      <w:marLeft w:val="0"/>
      <w:marRight w:val="0"/>
      <w:marTop w:val="0"/>
      <w:marBottom w:val="0"/>
      <w:divBdr>
        <w:top w:val="none" w:sz="0" w:space="0" w:color="auto"/>
        <w:left w:val="none" w:sz="0" w:space="0" w:color="auto"/>
        <w:bottom w:val="none" w:sz="0" w:space="0" w:color="auto"/>
        <w:right w:val="none" w:sz="0" w:space="0" w:color="auto"/>
      </w:divBdr>
    </w:div>
    <w:div w:id="1598830596">
      <w:bodyDiv w:val="1"/>
      <w:marLeft w:val="0"/>
      <w:marRight w:val="0"/>
      <w:marTop w:val="0"/>
      <w:marBottom w:val="0"/>
      <w:divBdr>
        <w:top w:val="none" w:sz="0" w:space="0" w:color="auto"/>
        <w:left w:val="none" w:sz="0" w:space="0" w:color="auto"/>
        <w:bottom w:val="none" w:sz="0" w:space="0" w:color="auto"/>
        <w:right w:val="none" w:sz="0" w:space="0" w:color="auto"/>
      </w:divBdr>
    </w:div>
    <w:div w:id="1848325293">
      <w:bodyDiv w:val="1"/>
      <w:marLeft w:val="0"/>
      <w:marRight w:val="0"/>
      <w:marTop w:val="0"/>
      <w:marBottom w:val="0"/>
      <w:divBdr>
        <w:top w:val="none" w:sz="0" w:space="0" w:color="auto"/>
        <w:left w:val="none" w:sz="0" w:space="0" w:color="auto"/>
        <w:bottom w:val="none" w:sz="0" w:space="0" w:color="auto"/>
        <w:right w:val="none" w:sz="0" w:space="0" w:color="auto"/>
      </w:divBdr>
      <w:divsChild>
        <w:div w:id="240915508">
          <w:marLeft w:val="0"/>
          <w:marRight w:val="0"/>
          <w:marTop w:val="0"/>
          <w:marBottom w:val="0"/>
          <w:divBdr>
            <w:top w:val="none" w:sz="0" w:space="0" w:color="auto"/>
            <w:left w:val="none" w:sz="0" w:space="0" w:color="auto"/>
            <w:bottom w:val="none" w:sz="0" w:space="0" w:color="auto"/>
            <w:right w:val="none" w:sz="0" w:space="0" w:color="auto"/>
          </w:divBdr>
        </w:div>
        <w:div w:id="372922709">
          <w:marLeft w:val="0"/>
          <w:marRight w:val="0"/>
          <w:marTop w:val="0"/>
          <w:marBottom w:val="0"/>
          <w:divBdr>
            <w:top w:val="none" w:sz="0" w:space="0" w:color="auto"/>
            <w:left w:val="none" w:sz="0" w:space="0" w:color="auto"/>
            <w:bottom w:val="none" w:sz="0" w:space="0" w:color="auto"/>
            <w:right w:val="none" w:sz="0" w:space="0" w:color="auto"/>
          </w:divBdr>
        </w:div>
        <w:div w:id="459884585">
          <w:marLeft w:val="0"/>
          <w:marRight w:val="0"/>
          <w:marTop w:val="0"/>
          <w:marBottom w:val="0"/>
          <w:divBdr>
            <w:top w:val="none" w:sz="0" w:space="0" w:color="auto"/>
            <w:left w:val="none" w:sz="0" w:space="0" w:color="auto"/>
            <w:bottom w:val="none" w:sz="0" w:space="0" w:color="auto"/>
            <w:right w:val="none" w:sz="0" w:space="0" w:color="auto"/>
          </w:divBdr>
        </w:div>
        <w:div w:id="511727758">
          <w:marLeft w:val="0"/>
          <w:marRight w:val="0"/>
          <w:marTop w:val="0"/>
          <w:marBottom w:val="0"/>
          <w:divBdr>
            <w:top w:val="none" w:sz="0" w:space="0" w:color="auto"/>
            <w:left w:val="none" w:sz="0" w:space="0" w:color="auto"/>
            <w:bottom w:val="none" w:sz="0" w:space="0" w:color="auto"/>
            <w:right w:val="none" w:sz="0" w:space="0" w:color="auto"/>
          </w:divBdr>
          <w:divsChild>
            <w:div w:id="931470823">
              <w:marLeft w:val="0"/>
              <w:marRight w:val="0"/>
              <w:marTop w:val="0"/>
              <w:marBottom w:val="0"/>
              <w:divBdr>
                <w:top w:val="none" w:sz="0" w:space="0" w:color="auto"/>
                <w:left w:val="none" w:sz="0" w:space="0" w:color="auto"/>
                <w:bottom w:val="none" w:sz="0" w:space="0" w:color="auto"/>
                <w:right w:val="none" w:sz="0" w:space="0" w:color="auto"/>
              </w:divBdr>
            </w:div>
            <w:div w:id="1103185742">
              <w:marLeft w:val="0"/>
              <w:marRight w:val="0"/>
              <w:marTop w:val="0"/>
              <w:marBottom w:val="0"/>
              <w:divBdr>
                <w:top w:val="none" w:sz="0" w:space="0" w:color="auto"/>
                <w:left w:val="none" w:sz="0" w:space="0" w:color="auto"/>
                <w:bottom w:val="none" w:sz="0" w:space="0" w:color="auto"/>
                <w:right w:val="none" w:sz="0" w:space="0" w:color="auto"/>
              </w:divBdr>
            </w:div>
            <w:div w:id="1812483175">
              <w:marLeft w:val="0"/>
              <w:marRight w:val="0"/>
              <w:marTop w:val="0"/>
              <w:marBottom w:val="0"/>
              <w:divBdr>
                <w:top w:val="none" w:sz="0" w:space="0" w:color="auto"/>
                <w:left w:val="none" w:sz="0" w:space="0" w:color="auto"/>
                <w:bottom w:val="none" w:sz="0" w:space="0" w:color="auto"/>
                <w:right w:val="none" w:sz="0" w:space="0" w:color="auto"/>
              </w:divBdr>
            </w:div>
          </w:divsChild>
        </w:div>
        <w:div w:id="531379964">
          <w:marLeft w:val="0"/>
          <w:marRight w:val="0"/>
          <w:marTop w:val="0"/>
          <w:marBottom w:val="0"/>
          <w:divBdr>
            <w:top w:val="none" w:sz="0" w:space="0" w:color="auto"/>
            <w:left w:val="none" w:sz="0" w:space="0" w:color="auto"/>
            <w:bottom w:val="none" w:sz="0" w:space="0" w:color="auto"/>
            <w:right w:val="none" w:sz="0" w:space="0" w:color="auto"/>
          </w:divBdr>
        </w:div>
        <w:div w:id="652762829">
          <w:marLeft w:val="0"/>
          <w:marRight w:val="0"/>
          <w:marTop w:val="0"/>
          <w:marBottom w:val="0"/>
          <w:divBdr>
            <w:top w:val="none" w:sz="0" w:space="0" w:color="auto"/>
            <w:left w:val="none" w:sz="0" w:space="0" w:color="auto"/>
            <w:bottom w:val="none" w:sz="0" w:space="0" w:color="auto"/>
            <w:right w:val="none" w:sz="0" w:space="0" w:color="auto"/>
          </w:divBdr>
        </w:div>
        <w:div w:id="914977258">
          <w:marLeft w:val="0"/>
          <w:marRight w:val="0"/>
          <w:marTop w:val="0"/>
          <w:marBottom w:val="0"/>
          <w:divBdr>
            <w:top w:val="none" w:sz="0" w:space="0" w:color="auto"/>
            <w:left w:val="none" w:sz="0" w:space="0" w:color="auto"/>
            <w:bottom w:val="none" w:sz="0" w:space="0" w:color="auto"/>
            <w:right w:val="none" w:sz="0" w:space="0" w:color="auto"/>
          </w:divBdr>
        </w:div>
        <w:div w:id="1073938551">
          <w:marLeft w:val="0"/>
          <w:marRight w:val="0"/>
          <w:marTop w:val="0"/>
          <w:marBottom w:val="0"/>
          <w:divBdr>
            <w:top w:val="none" w:sz="0" w:space="0" w:color="auto"/>
            <w:left w:val="none" w:sz="0" w:space="0" w:color="auto"/>
            <w:bottom w:val="none" w:sz="0" w:space="0" w:color="auto"/>
            <w:right w:val="none" w:sz="0" w:space="0" w:color="auto"/>
          </w:divBdr>
          <w:divsChild>
            <w:div w:id="1440678176">
              <w:marLeft w:val="0"/>
              <w:marRight w:val="0"/>
              <w:marTop w:val="0"/>
              <w:marBottom w:val="0"/>
              <w:divBdr>
                <w:top w:val="none" w:sz="0" w:space="0" w:color="auto"/>
                <w:left w:val="none" w:sz="0" w:space="0" w:color="auto"/>
                <w:bottom w:val="none" w:sz="0" w:space="0" w:color="auto"/>
                <w:right w:val="none" w:sz="0" w:space="0" w:color="auto"/>
              </w:divBdr>
            </w:div>
          </w:divsChild>
        </w:div>
        <w:div w:id="1085608649">
          <w:marLeft w:val="0"/>
          <w:marRight w:val="0"/>
          <w:marTop w:val="0"/>
          <w:marBottom w:val="0"/>
          <w:divBdr>
            <w:top w:val="none" w:sz="0" w:space="0" w:color="auto"/>
            <w:left w:val="none" w:sz="0" w:space="0" w:color="auto"/>
            <w:bottom w:val="none" w:sz="0" w:space="0" w:color="auto"/>
            <w:right w:val="none" w:sz="0" w:space="0" w:color="auto"/>
          </w:divBdr>
        </w:div>
        <w:div w:id="1234974651">
          <w:marLeft w:val="0"/>
          <w:marRight w:val="0"/>
          <w:marTop w:val="0"/>
          <w:marBottom w:val="0"/>
          <w:divBdr>
            <w:top w:val="none" w:sz="0" w:space="0" w:color="auto"/>
            <w:left w:val="none" w:sz="0" w:space="0" w:color="auto"/>
            <w:bottom w:val="none" w:sz="0" w:space="0" w:color="auto"/>
            <w:right w:val="none" w:sz="0" w:space="0" w:color="auto"/>
          </w:divBdr>
        </w:div>
        <w:div w:id="1542673224">
          <w:marLeft w:val="0"/>
          <w:marRight w:val="0"/>
          <w:marTop w:val="0"/>
          <w:marBottom w:val="0"/>
          <w:divBdr>
            <w:top w:val="none" w:sz="0" w:space="0" w:color="auto"/>
            <w:left w:val="none" w:sz="0" w:space="0" w:color="auto"/>
            <w:bottom w:val="none" w:sz="0" w:space="0" w:color="auto"/>
            <w:right w:val="none" w:sz="0" w:space="0" w:color="auto"/>
          </w:divBdr>
          <w:divsChild>
            <w:div w:id="258373093">
              <w:marLeft w:val="0"/>
              <w:marRight w:val="0"/>
              <w:marTop w:val="0"/>
              <w:marBottom w:val="0"/>
              <w:divBdr>
                <w:top w:val="none" w:sz="0" w:space="0" w:color="auto"/>
                <w:left w:val="none" w:sz="0" w:space="0" w:color="auto"/>
                <w:bottom w:val="none" w:sz="0" w:space="0" w:color="auto"/>
                <w:right w:val="none" w:sz="0" w:space="0" w:color="auto"/>
              </w:divBdr>
            </w:div>
            <w:div w:id="266229728">
              <w:marLeft w:val="0"/>
              <w:marRight w:val="0"/>
              <w:marTop w:val="0"/>
              <w:marBottom w:val="0"/>
              <w:divBdr>
                <w:top w:val="none" w:sz="0" w:space="0" w:color="auto"/>
                <w:left w:val="none" w:sz="0" w:space="0" w:color="auto"/>
                <w:bottom w:val="none" w:sz="0" w:space="0" w:color="auto"/>
                <w:right w:val="none" w:sz="0" w:space="0" w:color="auto"/>
              </w:divBdr>
            </w:div>
            <w:div w:id="361175679">
              <w:marLeft w:val="0"/>
              <w:marRight w:val="0"/>
              <w:marTop w:val="0"/>
              <w:marBottom w:val="0"/>
              <w:divBdr>
                <w:top w:val="none" w:sz="0" w:space="0" w:color="auto"/>
                <w:left w:val="none" w:sz="0" w:space="0" w:color="auto"/>
                <w:bottom w:val="none" w:sz="0" w:space="0" w:color="auto"/>
                <w:right w:val="none" w:sz="0" w:space="0" w:color="auto"/>
              </w:divBdr>
            </w:div>
            <w:div w:id="486895892">
              <w:marLeft w:val="0"/>
              <w:marRight w:val="0"/>
              <w:marTop w:val="0"/>
              <w:marBottom w:val="0"/>
              <w:divBdr>
                <w:top w:val="none" w:sz="0" w:space="0" w:color="auto"/>
                <w:left w:val="none" w:sz="0" w:space="0" w:color="auto"/>
                <w:bottom w:val="none" w:sz="0" w:space="0" w:color="auto"/>
                <w:right w:val="none" w:sz="0" w:space="0" w:color="auto"/>
              </w:divBdr>
            </w:div>
            <w:div w:id="664475516">
              <w:marLeft w:val="0"/>
              <w:marRight w:val="0"/>
              <w:marTop w:val="0"/>
              <w:marBottom w:val="0"/>
              <w:divBdr>
                <w:top w:val="none" w:sz="0" w:space="0" w:color="auto"/>
                <w:left w:val="none" w:sz="0" w:space="0" w:color="auto"/>
                <w:bottom w:val="none" w:sz="0" w:space="0" w:color="auto"/>
                <w:right w:val="none" w:sz="0" w:space="0" w:color="auto"/>
              </w:divBdr>
            </w:div>
            <w:div w:id="738943445">
              <w:marLeft w:val="0"/>
              <w:marRight w:val="0"/>
              <w:marTop w:val="0"/>
              <w:marBottom w:val="0"/>
              <w:divBdr>
                <w:top w:val="none" w:sz="0" w:space="0" w:color="auto"/>
                <w:left w:val="none" w:sz="0" w:space="0" w:color="auto"/>
                <w:bottom w:val="none" w:sz="0" w:space="0" w:color="auto"/>
                <w:right w:val="none" w:sz="0" w:space="0" w:color="auto"/>
              </w:divBdr>
            </w:div>
            <w:div w:id="907499797">
              <w:marLeft w:val="0"/>
              <w:marRight w:val="0"/>
              <w:marTop w:val="0"/>
              <w:marBottom w:val="0"/>
              <w:divBdr>
                <w:top w:val="none" w:sz="0" w:space="0" w:color="auto"/>
                <w:left w:val="none" w:sz="0" w:space="0" w:color="auto"/>
                <w:bottom w:val="none" w:sz="0" w:space="0" w:color="auto"/>
                <w:right w:val="none" w:sz="0" w:space="0" w:color="auto"/>
              </w:divBdr>
            </w:div>
            <w:div w:id="1402214734">
              <w:marLeft w:val="0"/>
              <w:marRight w:val="0"/>
              <w:marTop w:val="0"/>
              <w:marBottom w:val="0"/>
              <w:divBdr>
                <w:top w:val="none" w:sz="0" w:space="0" w:color="auto"/>
                <w:left w:val="none" w:sz="0" w:space="0" w:color="auto"/>
                <w:bottom w:val="none" w:sz="0" w:space="0" w:color="auto"/>
                <w:right w:val="none" w:sz="0" w:space="0" w:color="auto"/>
              </w:divBdr>
            </w:div>
            <w:div w:id="1685356002">
              <w:marLeft w:val="0"/>
              <w:marRight w:val="0"/>
              <w:marTop w:val="0"/>
              <w:marBottom w:val="0"/>
              <w:divBdr>
                <w:top w:val="none" w:sz="0" w:space="0" w:color="auto"/>
                <w:left w:val="none" w:sz="0" w:space="0" w:color="auto"/>
                <w:bottom w:val="none" w:sz="0" w:space="0" w:color="auto"/>
                <w:right w:val="none" w:sz="0" w:space="0" w:color="auto"/>
              </w:divBdr>
            </w:div>
            <w:div w:id="1746878760">
              <w:marLeft w:val="0"/>
              <w:marRight w:val="0"/>
              <w:marTop w:val="0"/>
              <w:marBottom w:val="0"/>
              <w:divBdr>
                <w:top w:val="none" w:sz="0" w:space="0" w:color="auto"/>
                <w:left w:val="none" w:sz="0" w:space="0" w:color="auto"/>
                <w:bottom w:val="none" w:sz="0" w:space="0" w:color="auto"/>
                <w:right w:val="none" w:sz="0" w:space="0" w:color="auto"/>
              </w:divBdr>
            </w:div>
            <w:div w:id="2117090002">
              <w:marLeft w:val="0"/>
              <w:marRight w:val="0"/>
              <w:marTop w:val="0"/>
              <w:marBottom w:val="0"/>
              <w:divBdr>
                <w:top w:val="none" w:sz="0" w:space="0" w:color="auto"/>
                <w:left w:val="none" w:sz="0" w:space="0" w:color="auto"/>
                <w:bottom w:val="none" w:sz="0" w:space="0" w:color="auto"/>
                <w:right w:val="none" w:sz="0" w:space="0" w:color="auto"/>
              </w:divBdr>
            </w:div>
          </w:divsChild>
        </w:div>
        <w:div w:id="1775857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FEAA7-CF76-460A-BC79-2D815417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yian li</dc:creator>
  <cp:lastModifiedBy>lixiaoya</cp:lastModifiedBy>
  <cp:revision>8</cp:revision>
  <dcterms:created xsi:type="dcterms:W3CDTF">2016-06-06T17:21:00Z</dcterms:created>
  <dcterms:modified xsi:type="dcterms:W3CDTF">2016-06-17T02:20:00Z</dcterms:modified>
</cp:coreProperties>
</file>